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1059</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Family and Protective Services and the Health and Human Services Commission are required to implement this Act only if the legislature appropriates money specifically for that purpose. </w:t>
      </w:r>
      <w:r>
        <w:t xml:space="preserve"> </w:t>
      </w:r>
      <w:r>
        <w:t xml:space="preserve">If the legislature does not appropriate money specifically for that purpose, the department and the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