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87R9543 MCF-D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a temporary license for an assisted living facility that has a corporate change in ownership.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247.021(h), Health and Safety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(h)</w:t>
      </w:r>
      <w:r xml:space="preserve">
        <w:t> </w:t>
      </w:r>
      <w:r xml:space="preserve">
        <w:t> </w:t>
      </w:r>
      <w:r>
        <w:t xml:space="preserve">The </w:t>
      </w:r>
      <w:r>
        <w:rPr>
          <w:u w:val="single"/>
        </w:rPr>
        <w:t xml:space="preserve">commission shall</w:t>
      </w:r>
      <w:r>
        <w:t xml:space="preserve"> [</w:t>
      </w:r>
      <w:r>
        <w:rPr>
          <w:strike/>
        </w:rPr>
        <w:t xml:space="preserve">department may</w:t>
      </w:r>
      <w:r>
        <w:t xml:space="preserve">] automatically issue a </w:t>
      </w:r>
      <w:r>
        <w:rPr>
          <w:u w:val="single"/>
        </w:rPr>
        <w:t xml:space="preserve">temporary</w:t>
      </w:r>
      <w:r>
        <w:t xml:space="preserve"> [</w:t>
      </w:r>
      <w:r>
        <w:rPr>
          <w:strike/>
        </w:rPr>
        <w:t xml:space="preserve">provisional</w:t>
      </w:r>
      <w:r>
        <w:t xml:space="preserve">] license </w:t>
      </w:r>
      <w:r>
        <w:rPr>
          <w:u w:val="single"/>
        </w:rPr>
        <w:t xml:space="preserve">to an existing facility licensed under this chapter that has</w:t>
      </w:r>
      <w:r>
        <w:t xml:space="preserve"> [</w:t>
      </w:r>
      <w:r>
        <w:rPr>
          <w:strike/>
        </w:rPr>
        <w:t xml:space="preserve">in the case of</w:t>
      </w:r>
      <w:r>
        <w:t xml:space="preserve">] a corporate change of ownership </w:t>
      </w:r>
      <w:r>
        <w:rPr>
          <w:u w:val="single"/>
        </w:rPr>
        <w:t xml:space="preserve">in the</w:t>
      </w:r>
      <w:r>
        <w:t xml:space="preserve"> [</w:t>
      </w:r>
      <w:r>
        <w:rPr>
          <w:strike/>
        </w:rPr>
        <w:t xml:space="preserve">of a</w:t>
      </w:r>
      <w:r>
        <w:t xml:space="preserve">] facility.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2022, the executive commissioner of the Health and Human Services Commission shall adopt rules necessary to implement the changes in law made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