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1061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background and criminal history checks for operators and employees of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42.159, Human Resources Code, is amended by adding Subsections (b-1), (b-2), and (c-1)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subject to the background and criminal history check required by Subsection (a) or (b) shall submit to the commission a complete set of fingerprints.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executive commissioner shall adopt rules to implement this section.  The rules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 that the fingerprints submitted be in a form and of a quality acceptable to the Department of Public Safety and the Federal Bureau of Investigation for the purpose of conducting a criminal history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that the fingerprints be submitted electronically through an applicant fingerprinting service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allow the commission to waive a fingerprint submission required by this section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for whom the submission is required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fingerprint-based criminal history check on file with the commission obtained under Section 411.114,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fingerprint-based criminal history clearinghouse record, as provided by Section 411.0845, Government Code, that is accessible to the commission through the Department of Public Safety and obtained under Section 411.114,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has an active subscription to the Federal Bureau of Investigation's National Record of Arrest and Prosecution Back Service for the person for whom the fingerprint submission is required.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each person whose fingerprints are submitted under Subsection (b-1), the department shall conduct a state and Federal Bureau of Investigation criminal history check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person's fingerprints, or causing the fingerprints to be submitted electronically, to the Department of Public Safety for the purpose of conducting a state and federal criminal history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resulting information made available by that department under Section 411.114, Government Code, and by the Federal Bureau of Investigation and any other criminal justice agency under Section 411.087,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42.206, Human Resources Code, is amended by amending Subsection (b) and adding Subsections (b-1) and (c-1) to read as follows:</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a shelter shall submit a complete set of fingerprints of each person required to undergo a criminal history check under Subsection (a) [</w:t>
      </w:r>
      <w:r>
        <w:rPr>
          <w:strike/>
        </w:rPr>
        <w:t xml:space="preserve">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has lived outside the state at any time during the previous five years;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shelter has reason to suspect that the person has a criminal history in another state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executive commissioner shall adopt rules to implement this section.  The rules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 that the fingerprints submitted be in a form and of a quality acceptable to the Department of Public Safety and the Federal Bureau of Investigation for purposes of conducting a criminal history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that the fingerprints be submitted electronically through an applicant fingerprinting service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allow the commission to waive a fingerprint submission required by this section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for whom the submission is required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fingerprint-based criminal history check on file with the commission obtained under Section 411.114,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fingerprint-based criminal history clearinghouse record, as provided by Section 411.0845, Government Code, that is accessible to the commission through the Department of Public Safety and obtained under Section 411.114,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has an active subscription to the Federal Bureau of Investigation's National Record of Arrest and Prosecution Back Service for the person for whom the fingerprint submission is required.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each person whose fingerprints are submitted under Subsection (b), the department shall conduct a state and Federal Bureau of Investigation criminal history check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person's fingerprints, or causing the fingerprints to be submitted electronically, to the Department of Public Safety for the purpose of conducting a state and federal criminal history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resulting information made available by that department under Section 411.114, Government Code, and by the Federal Bureau of Investigation and any other criminal justice agency under Section 411.087,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