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1061</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background and criminal history checks for operators and employees of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42.159, Human Resources Code, is amended by adding Subsections (b-1), (b-2), and (c-1)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subject to the background and criminal history check required by Subsection (a) or (b) shall submit to the commission a complete set of fingerprints.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the purpose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obtained under Section 411.114,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 obtained under Section 411.114,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(b-1),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42.206, Human Resources Code, is amended by amending Subsection (b)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 shelter shall submit a complete set of fingerprints of each person required to undergo a criminal history check under Subsection (a)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has lived outside the state at any time during the previous five years;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shelter has reason to suspect that the person has a criminal history in another state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commissioner shall adopt rules to implement this section.  The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the fingerprints submitted be in a form and of a quality acceptable to the Department of Public Safety and the Federal Bureau of Investigation for purposes of conducting a criminal history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the fingerprints be submitted electronically through an applicant fingerprinting service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allow the commission to waive a fingerprint submission required by this section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for whom the submission is required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fingerprint-based criminal history check on file with the commission obtained under Section 411.114,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fingerprint-based criminal history clearinghouse record, as provided by Section 411.0845, Government Code, that is accessible to the commission through the Department of Public Safety and obtained under Section 411.114,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has an active subscription to the Federal Bureau of Investigation's National Record of Arrest and Prosecution Back Service for the person for whom the fingerprint submission is required.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each person whose fingerprints are submitted under Subsection (b), the department shall conduct a state and Federal Bureau of Investigation criminal history check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person's fingerprints, or causing the fingerprints to be submitted electronically, to the Department of Public Safety for the purpose of conducting a state and federal criminal history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resulting information made available by that department under Section 411.114, Government Code, and by the Federal Bureau of Investigation and any other criminal justice agency under Section 411.087,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