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87R6740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background and criminal history checks for operators and employees of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42.159, Human Resources Code, is amended by adding Subsections (b-1), (b-2),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subject to the background and criminal history check required by Subsection (a) or (b) shall submit to the commission a complete set of fingerprints.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the purpose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(b-1),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42.206, Human Resources Code, is amended by amending Subsection (b)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 shelter shall submit a complete set of fingerprints of each person required to undergo a criminal history check under Subsection (a)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has lived outside the state at any time during the previous five years;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shelter has reason to suspect that the person has a criminal history in another state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purposes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