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disability retirement benefits for certain peace officers under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814.207(e),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a retiring member or retiree under this section presents evidence satisfactory to the retirement system that the person's occupational disability makes the person incapable of substantial gainful activity solely because of the disability and is considered a total disability under federal social security law, the retirement system shall</w:t>
      </w:r>
      <w:r>
        <w:rPr>
          <w:u w:val="single"/>
        </w:rPr>
        <w:t xml:space="preserve">, notwithstanding Section 811.006,</w:t>
      </w:r>
      <w:r>
        <w:t xml:space="preserve"> increase the person's occupational disability retirement annuity to </w:t>
      </w:r>
      <w:r>
        <w:rPr>
          <w:u w:val="single"/>
        </w:rPr>
        <w:t xml:space="preserve">a monthly amount computed based on the maximum salary authorized under the position classification salary schedule prescribed by the General Appropriations Act, as adjusted from time to time, applicable to the position from which the person retired</w:t>
      </w:r>
      <w:r>
        <w:t xml:space="preserve"> [</w:t>
      </w:r>
      <w:r>
        <w:rPr>
          <w:strike/>
        </w:rPr>
        <w:t xml:space="preserve">100 percent of the officer's average monthly compensation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 (b) of this section, the Employees Retirement System of Texas shall recompute an annuity that first became payable before September 1, 2021, as though Section 814.207(e), Government Code, as amended by this Act, was in effect on the date the increased annuity first became payable.</w:t>
      </w:r>
    </w:p>
    <w:p w:rsidR="003F3435" w:rsidRDefault="0032493E">
      <w:pPr>
        <w:spacing w:line="480" w:lineRule="auto"/>
        <w:ind w:firstLine="720"/>
        <w:jc w:val="both"/>
      </w:pPr>
      <w:r>
        <w:t xml:space="preserve">(b)</w:t>
      </w:r>
      <w:r xml:space="preserve">
        <w:t> </w:t>
      </w:r>
      <w:r xml:space="preserve">
        <w:t> </w:t>
      </w:r>
      <w:r>
        <w:t xml:space="preserve">The first payment of an annuity recomputed under Subsection (a) of this section is payable on the first payment date occurring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1071 passed the Senate on May</w:t>
      </w:r>
      <w:r xml:space="preserve">
        <w:t> </w:t>
      </w:r>
      <w:r>
        <w:t xml:space="preserve">5,</w:t>
      </w:r>
      <w:r xml:space="preserve">
        <w:t> </w:t>
      </w:r>
      <w:r>
        <w:t xml:space="preserve">2021, by the following vote:  Yeas</w:t>
      </w:r>
      <w:r xml:space="preserve">
        <w:t> </w:t>
      </w:r>
      <w:r>
        <w:t xml:space="preserve">31, Nays</w:t>
      </w:r>
      <w:r xml:space="preserve">
        <w:t> </w:t>
      </w:r>
      <w:r>
        <w:t xml:space="preserve">0; and that the Senate concurred in House amendment on May 29,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1071 passed the House, with amendment, on May 26, 2021, by the following vote:  Yeas</w:t>
      </w:r>
      <w:r xml:space="preserve">
        <w:t> </w:t>
      </w:r>
      <w:r>
        <w:t xml:space="preserve">118, Nays</w:t>
      </w:r>
      <w:r xml:space="preserve">
        <w:t> </w:t>
      </w:r>
      <w:r>
        <w:t xml:space="preserve">29,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