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1079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monthly reports of certain activity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264.017, Family Code, is amended by adding Subsections (f), (g), and (h)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other reports required by this section, the department shall publish a monthly report containing the following information for the preceding month: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statewide intake: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child abuse, neglect, or exploitation reports received sorted by the source of the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child abuse, neglect, or exploitation reports that met the statutory definition of child abuse, neglect, or exploitation that were referred for investigation sorted by the type of allegation and the number of reports that were confirmed as abuse, neglect, or exploitation after an investigation;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time to process an electronic report of child abuse, neglect, or exploitation;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hold time for calls to the department's abuse hotline;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calls to the department's abuse hotline that were abandoned before the caller spoke with a person;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number of calls received by the Texas Youth Helpline regarding runaway youth;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respect to child protective investigations: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cases opened;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cases completed and closed sorted by the manner in which the case was closed;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number of days to close a case;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total number of cases opened at residential child-care facilities;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percentage of cases assigned the highest and second highest priorities the investigations of which were started within the time required by Section 261.301;</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number of cases for which the determination was changed after an administrative review within 12 months of the date of the determination;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percentage of alleged victims in investigations that were closed without providing services for which, within 12 months of the date the case was closed, the department: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confirmed another allegation of abuse, neglect, or exploitation against the child;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opened another stage for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respect to family-based safety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cases opened;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cases closed;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number of days to close a case;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percentage of cases in which a child was eventually removed from the child's home;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cases which were closed without providing further services for which, within 12 months of the date the case was closed, the department: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confirmed another allegation of abuse, neglect, or exploitation against the child;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opened another stage for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with respect to conservatorship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children removed from their home;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children who exited from the managing conservatorship of the department sorted by the manner in which the child exited;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number of months a child remained in the managing conservatorship of the department;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number of placements a child has while in the managing conservatorship of the department;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sibling groups placed with the same foster family;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percentage of youth who have aged out of foster care and completed the Preparation for Adult Living program;</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percentage of youth who exited from the managing conservatorship of the department to a permanent placement;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percentage of children who are adopted within 12 months of the date their parent's parental rights were terminated;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percentage of children in the managing conservatorship of the department for longer than two years who achieve permanency;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percentage of children who are returned to their parents and for whom, within 12 months of the date the case was closed, the department: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confirmed another allegation of abuse, neglect, or exploitation against the child;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opened another stage for services;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percentage of children in the managing conservatorship of the department who are placed with a relative caregiver;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percentage of children in foster care placed in each county in the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with respect to residential child-care licensing: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investigations in which the department made a high risk finding;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percentage of child-care facilities with no recent violations;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illegal operations identified, resolved, and pending;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number of validated allegations of child abuse, neglect, or exploitation in child-care facilities;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with respect to staffing in statewide intake, residential child-care investigations, child protective investigations, family-based safety services, and conservatorship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caseworker turnover;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caseworkers hired;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number of caseworkers terminated;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vacancy rate for caseworker positions;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average daily caseloads for caseworkers.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provide the report required by Subsection (f) to the legislature and shall publish the report and make the report available electronically to the public not later than the 30th day after the end of the month for which the report is made.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may contract with a third party to assist the department with collecting, analyzing, and reporting the data required under Subsection (f).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