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87R5271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1079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monthly reports of certain activity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264.017, Family Code, is amended by adding Subsections (f) and (g)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addition to the other reports required by this section, the department shall publish a monthly report containing the following information for the preceding month: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respect to statewide intake: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of child abuse, neglect, or exploitation reports received sorted by source of the report;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child abuse, neglect, or exploitation reports that were considered information or referrals but do not meet the statutory definition of abuse, neglect, or exploitation;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number of child abuse, neglect, or exploitation reports that met the statutory definition of child abuse, neglect, or exploitation that were referred for investigation sorted by the type of allegation and the number of reports that were confirmed as abuse, neglect, or exploitation after an investigation;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quality assurance measures implemented by the department;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average time to process an electronic report of child abuse, neglect, or exploitation;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average hold time for calls to the department's abuse hotline;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percentage of calls to the department's abuse hotline that were abandoned before the caller spoke with a person;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number of calls received by the Texas Youth Helpline regarding runaway youth;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 respect to child protective investigations: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total number of cases opened;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total number of cases closed sorted by the manner in which the case was closed;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average number of days to close a case;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total number of cases opened at residential child-care facilities;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total number of cases assigned the highest and second highest priorities whose investigations were started within the time required by Section 261.301;</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total number of cases for which the determination was changed after an administrative review before the first anniversary of the date of the determination;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total number of cases which were closed without providing services and for which the department opened a subsequent case before the first anniversary of the date the case was closed;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with respect to family-based safety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total number of cases opened;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total number of cases closed;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average number of days to close a case;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total number of cases in which the child was eventually removed from the child's home;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total number of cases which were closed without providing services and for which the department opened a subsequent case before the first anniversary of the date the case was closed;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with respect to conservatorship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total number of children removed from their home;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total number of children who exited from the managing conservatorship of the department sorted by the manner in which the child exited;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average number of months a child remained in the managing conservatorship of the department;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average number of placements a child has while in the managing conservatorship of the department;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percentage of sibling groups placed with the same foster family;</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percentage of youth who have aged out of foster care and completed the Preparation for Adult Living program;</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percentage of youth who exited from the managing conservatorship of the department to a permanent placement;</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percentage of children who are adopted before the first anniversary of the date their parent's parental rights were terminated;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the percentage of children in the managing conservatorship of the department for longer than two years;</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the number of children who return to the managing conservatorship of the department before the first anniversary of the date the case was closed;</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the percentage of children in the managing conservatorship of the department who are placed with a relative caregiver; and</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the number of children in foster care placed in each county in the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with respect to residential child care licensing: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percentage of investigations in which the department made a high risk finding;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percentage of child-care facilities with no recent violations;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number of illegal operations identified, resolved, and pending;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number of validated allegations of child abuse, neglect, or exploitation in child-care facilities;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with respect to staffing in statewide intake, residential child care investigations, child protective investigations, family-based safety services, and conservatorship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percentage of caseworker turnover;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total number of caseworkers hired;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total number of caseworkers terminated;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number of unfilled caseworker positions;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average daily caseloads for caseworkers.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department shall provide the report required by Subsection (f) to the legislature and shall publish the report and make the report available electronically to the public not later than the 15th day of each month.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