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Campbell</w:t>
      </w:r>
      <w:r xml:space="preserve">
        <w:tab wTab="150" tlc="none" cTlc="0"/>
      </w:r>
      <w:r>
        <w:t xml:space="preserve">S.B.</w:t>
      </w:r>
      <w:r xml:space="preserve">
        <w:t> </w:t>
      </w:r>
      <w:r>
        <w:t xml:space="preserve">No.</w:t>
      </w:r>
      <w:r xml:space="preserve">
        <w:t> </w:t>
      </w:r>
      <w:r>
        <w:t xml:space="preserve">1079</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5,</w:t>
      </w:r>
      <w:r xml:space="preserve">
        <w:t> </w:t>
      </w:r>
      <w:r>
        <w:t xml:space="preserve">2021; March</w:t>
      </w:r>
      <w:r xml:space="preserve">
        <w:t> </w:t>
      </w:r>
      <w:r>
        <w:t xml:space="preserve">18,</w:t>
      </w:r>
      <w:r xml:space="preserve">
        <w:t> </w:t>
      </w:r>
      <w:r>
        <w:t xml:space="preserve">2021, read first time and referred to Committee on Health &amp; Human Services; April</w:t>
      </w:r>
      <w:r xml:space="preserve">
        <w:t> </w:t>
      </w:r>
      <w:r>
        <w:t xml:space="preserve">19,</w:t>
      </w:r>
      <w:r xml:space="preserve">
        <w:t> </w:t>
      </w:r>
      <w:r>
        <w:t xml:space="preserve">2021, reported adversely, with favorable Committee Substitute by the following vote:</w:t>
      </w:r>
      <w:r>
        <w:t xml:space="preserve"> </w:t>
      </w:r>
      <w:r>
        <w:t xml:space="preserve"> </w:t>
      </w:r>
      <w:r>
        <w:t xml:space="preserve">Yeas 9, Nays 0; April</w:t>
      </w:r>
      <w:r xml:space="preserve">
        <w:t> </w:t>
      </w:r>
      <w:r>
        <w:t xml:space="preserve">19,</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Buckingham</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Powell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Seliger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1079</w:t>
      </w:r>
      <w:r xml:space="preserve">
        <w:tab wTab="150" tlc="none" cTlc="0"/>
      </w:r>
      <w:r>
        <w:t xml:space="preserve">By:</w:t>
      </w:r>
      <w:r xml:space="preserve">
        <w:t> </w:t>
      </w:r>
      <w:r xml:space="preserve">
        <w:t> </w:t>
      </w:r>
      <w:r>
        <w:t xml:space="preserve">Buckingham</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monthly reports of certain activity of the Department of Family and Protective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264.017, Family Code, is amended by adding Subsections (f), (g), and (h)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addition to the other reports required by this section, the department shall publish a monthly report containing the following information for the preceding month: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with respect to statewide intake: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number of child abuse, neglect, or exploitation reports received sorted by the source of the report;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number of child abuse, neglect, or exploitation reports that met the statutory definition of child abuse, neglect, or exploitation that were referred for investigation sorted by the type of allegation and the number of reports that were confirmed as abuse, neglect, or exploitation after an investigation;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average time to process an electronic report of child abuse, neglect, or exploitation;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average hold time for calls to the department's abuse hotline;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percentage of calls to the department's abuse hotline that were abandoned before the caller spoke with a person;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number of calls received by the Texas Youth Helpline regarding runaway youth;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with respect to child protective investigations: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total number of cases opened;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total number of cases completed and closed sorted by the manner in which the case was closed;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average number of days to close a case;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total number of cases opened at residential child-care facilities;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total percentage of cases assigned the highest and second highest priorities the investigations of which were started within the time required by Section 261.301;</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total number of cases for which the determination was changed after an administrative review within 12 months of the date of the determination; and</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the percentage of alleged victims in investigations that were closed without providing services for which, within 12 months of the date the case was closed, the department: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confirmed another allegation of abuse, neglect, or exploitation against the child;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opened another stage for services;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with respect to family-based safety services: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total number of cases opened;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total number of cases closed;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average number of days to close a case;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percentage of cases in which a child was eventually removed from the child's home;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percentage of cases which were closed without providing further services for which, within 12 months of the date the case was closed, the department: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confirmed another allegation of abuse, neglect, or exploitation against the child;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opened another stage for services;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with respect to conservatorship services: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total number of children removed from their home;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total number of children who exited from the managing conservatorship of the department sorted by the manner in which the child exited;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average number of months a child remained in the managing conservatorship of the department;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average number of placements a child has while in the managing conservatorship of the department;</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percentage of sibling groups placed with the same foster family;</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percentage of youth who have aged out of foster care and completed the Preparation for Adult Living program;</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the percentage of youth who exited from the managing conservatorship of the department to a permanent placement;</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the percentage of children who are adopted within 12 months of the date their parent's parental rights were terminated;</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the percentage of children in the managing conservatorship of the department for longer than two years who achieve permanency;</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the percentage of children who are returned to their parents and for whom, within 12 months of the date the case was closed, the department: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confirmed another allegation of abuse, neglect, or exploitation against the child;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opened another stage for services;</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the percentage of children in the managing conservatorship of the department who are placed with a relative caregiver; and</w:t>
      </w:r>
    </w:p>
    <w:p w:rsidR="003F3435" w:rsidRDefault="0032493E">
      <w:pPr>
        <w:spacing w:line="480" w:lineRule="auto"/>
        <w:ind w:firstLine="2160"/>
        <w:jc w:val="both"/>
      </w:pPr>
      <w:r>
        <w:rPr>
          <w:u w:val="single"/>
        </w:rPr>
        <w:t xml:space="preserve">(L)</w:t>
      </w:r>
      <w:r>
        <w:rPr>
          <w:u w:val="single"/>
        </w:rPr>
        <w:t xml:space="preserve"> </w:t>
      </w:r>
      <w:r>
        <w:rPr>
          <w:u w:val="single"/>
        </w:rPr>
        <w:t xml:space="preserve"> </w:t>
      </w:r>
      <w:r>
        <w:rPr>
          <w:u w:val="single"/>
        </w:rPr>
        <w:t xml:space="preserve">the percentage of children in foster care placed in each county in the state;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with respect to residential child-care licensing: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percentage of investigations in which the department made a high risk finding;</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percentage of child-care facilities with no recent violations;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number of illegal operations identified, resolved, and pending;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number of validated allegations of child abuse, neglect, or exploitation in child-care facilities;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with respect to staffing in statewide intake, residential child-care investigations, child protective investigations, family-based safety services, and conservatorship services: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percentage of caseworker turnover;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total number of caseworkers hired;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total number of caseworkers terminated;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average vacancy rate for caseworker positions;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average daily caseloads for caseworkers.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department shall provide the report required by Subsection (f) to the legislature and shall publish the report and make the report available electronically to the public not later than the 30th day after the end of the month for which the report is made.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department may contract with a third party to assist the department with collecting, analyzing, and reporting the data required under Subsection (f).</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1079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