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87R7983 MCF-D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w:t>
      </w:r>
      <w:r xml:space="preserve">
        <w:tab wTab="150" tlc="none" cTlc="0"/>
      </w:r>
      <w:r>
        <w:t xml:space="preserve">S.B.</w:t>
      </w:r>
      <w:r xml:space="preserve">
        <w:t> </w:t>
      </w:r>
      <w:r>
        <w:t xml:space="preserve">No.</w:t>
      </w:r>
      <w:r xml:space="preserve">
        <w:t> </w:t>
      </w:r>
      <w:r>
        <w:t xml:space="preserve">1087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certification and classification requirements for certain facilities that provide care for or advertise as providing care for persons with Alzheimer's disease and related disorders.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242.040(b), Health and Safety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An institution that installs in its facility a unit locking device as defined by commission rule to restrict a resident's ability to exit a unit of the facility or the facility may not provide care and treatment of persons with Alzheimer's disease and related disorders unless the institution is certified under this section.</w:t>
      </w:r>
      <w:r>
        <w:t xml:space="preserve">  An institution </w:t>
      </w:r>
      <w:r>
        <w:rPr>
          <w:u w:val="single"/>
        </w:rPr>
        <w:t xml:space="preserve">that has not installed a unit locking device in the facility</w:t>
      </w:r>
      <w:r>
        <w:t xml:space="preserve"> is not required to be certified under this section in order to provide care and treatment of persons with Alzheimer's disease and related disorders.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247.029(b),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executive commissioner shall adopt minimum standards for an assisted living facility classified under this section.  </w:t>
      </w:r>
      <w:r>
        <w:rPr>
          <w:u w:val="single"/>
        </w:rPr>
        <w:t xml:space="preserve">The minimum standards must require the facility to maintain an adequate ratio of direct care staff to residents based 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recommendations published in a generally accepted clinical resource for medical professionals;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consideration of the increased need for supervision of residents with Alzheimer's disease or related disorders.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242.040(b), Health and Safety Code, as amended by this Act, a nursing facility is not required to comply with Section 242.040(b) or rules adopted under that subsection until January 1, 2022.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executive commissioner of the Health and Human Services Commission shall adopt the minimum standards necessary to implement Section 247.029(b), Health and Safety Code, as amended by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