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1088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duty of the chief appraiser of an appraisal district to provide certain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11, Tax Code, is amended by adding Section 11.50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11.50.</w:t>
      </w:r>
      <w:r>
        <w:rPr>
          <w:u w:val="single"/>
        </w:rPr>
        <w:t xml:space="preserve"> </w:t>
      </w:r>
      <w:r>
        <w:rPr>
          <w:u w:val="single"/>
        </w:rPr>
        <w:t xml:space="preserve"> </w:t>
      </w:r>
      <w:r>
        <w:rPr>
          <w:u w:val="single"/>
        </w:rPr>
        <w:t xml:space="preserve">PROVISION OF NAMES OF INDIVIDUALS RECEIVING  RESIDENCE HOMESTEAD EXEMPTION TO ANOTHER CHIEF APPRAISER.  (a) </w:t>
      </w:r>
      <w:r>
        <w:rPr>
          <w:u w:val="single"/>
        </w:rPr>
        <w:t xml:space="preserve"> </w:t>
      </w:r>
      <w:r>
        <w:rPr>
          <w:u w:val="single"/>
        </w:rPr>
        <w:t xml:space="preserve">The chief appraiser of an appraisal district may request that the chief appraiser of another appraisal district provide to the requesting chief appraiser a list of the names of all individuals who currently receive an exemption for a residence homestead in the appraisal district for which the request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chief appraiser who receives a request under Subsection (a) shall provide the list to the requesting chief appraiser as soon as practicable.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law making information described by Subsection (a) confidential does not apply to the disclosure of that information under this section to another chief appraiser.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41.413(d) and (e),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A property</w:t>
      </w:r>
      <w:r>
        <w:t xml:space="preserve">] owner </w:t>
      </w:r>
      <w:r>
        <w:rPr>
          <w:u w:val="single"/>
        </w:rPr>
        <w:t xml:space="preserve">of real property</w:t>
      </w:r>
      <w:r>
        <w:t xml:space="preserve"> shall send to a person leasing property under a contract described by </w:t>
      </w:r>
      <w:r>
        <w:rPr>
          <w:u w:val="single"/>
        </w:rPr>
        <w:t xml:space="preserve">Subsection (b)</w:t>
      </w:r>
      <w:r>
        <w:t xml:space="preserve"> [</w:t>
      </w:r>
      <w:r>
        <w:rPr>
          <w:strike/>
        </w:rPr>
        <w:t xml:space="preserve">this section</w:t>
      </w:r>
      <w:r>
        <w:t xml:space="preserve">] a copy of any notice of appraised value of the property received by the property owner.  The property owner must send the notice not later than the 10th day after the date the property owner receives the notice.  Failure of the property owner to send a copy of the notice to the person leasing the property does not affect the time within which the person leasing the property may protest the appraised value.  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w:t>
      </w:r>
      <w:r>
        <w:rPr>
          <w:u w:val="single"/>
        </w:rPr>
        <w:t xml:space="preserve">real</w:t>
      </w:r>
      <w:r>
        <w:t xml:space="preserve"> property under a contract described by </w:t>
      </w:r>
      <w:r>
        <w:rPr>
          <w:u w:val="single"/>
        </w:rPr>
        <w:t xml:space="preserve">Subsection (b)</w:t>
      </w:r>
      <w:r>
        <w:t xml:space="preserve"> [</w:t>
      </w:r>
      <w:r>
        <w:rPr>
          <w:strike/>
        </w:rPr>
        <w:t xml:space="preserve">this section</w:t>
      </w:r>
      <w:r>
        <w:t xml:space="preserve">]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notice of appraised value received by a property owner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1088 passed the Senate on April</w:t>
      </w:r>
      <w:r xml:space="preserve">
        <w:t> </w:t>
      </w:r>
      <w:r>
        <w:t xml:space="preserve">29,</w:t>
      </w:r>
      <w:r xml:space="preserve">
        <w:t> </w:t>
      </w:r>
      <w:r>
        <w:t xml:space="preserve">2021, by the following vote:  Yeas</w:t>
      </w:r>
      <w:r xml:space="preserve">
        <w:t> </w:t>
      </w:r>
      <w:r>
        <w:t xml:space="preserve">31, Nays</w:t>
      </w:r>
      <w:r xml:space="preserve">
        <w:t> </w:t>
      </w:r>
      <w:r>
        <w:t xml:space="preserve">0; and that the Senate concurred in House amendment on May 28, 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1088 passed the House, with amendment, on May 25, 2021, by the following vote:  Yeas</w:t>
      </w:r>
      <w:r xml:space="preserve">
        <w:t> </w:t>
      </w:r>
      <w:r>
        <w:t xml:space="preserve">141, Nays</w:t>
      </w:r>
      <w:r xml:space="preserve">
        <w:t> </w:t>
      </w:r>
      <w:r>
        <w:t xml:space="preserve">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