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regulations adopted by governmental entities regarding land use restrictions and building products, materials, or methods used in the construction or renovation of residential or commercial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program established by a state agency that requires particular standards, incentives, or financing arrangements in order to comply with requirements of a state or federal funding source or housing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requirement for a building necessary to consider the building eligible for windstorm and hail insurance coverage under Chapter 2210, Insurance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ordinance or other regulation that regulates outdoor lighting that is adopted for the purpose of reducing light pollution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adopted by a governmental entity that is certified as a Dark Sky Community by the International Dark-Sky Association as part of the International Dark Sky Places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is adopted by a governmental entity that has adopted a resolution stating the entity's intent to become certified as a Dark Sky Community by the International Dark-Sky Association as part of the International Dark Sky Places Program and does not regulate outdoor lighting in a manner that is more restrictive than the prohibitions or limitations required to become certified as a Dark Sky Community;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applies to outdoor lighting within five miles of the boundary of a military base in which an active training program is conducted;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ordinance or order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regulates outdoor lighting;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under Subchapter B, Chapter 229, Local Government Code, or Subchapter B, Chapter 240, Local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that a municipality may regulate under Section 211.003(b), Local Government Code, if the municipality: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certified local government under the National Historic Preservation Act (54 U.S.C. Section 300101 et seq.);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applicable landmark ordinance that meets the requirements under the certified local government program as determined by the Texas Historical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by a governmental entity, if designated before April 1, 2019;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building located in an area designated as a historic district on the National Register of Historic Places;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building designated as a Recorded Texas Historic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building designated as a State Archeological Landmark or State Antiquities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building listed on the National Register of Historic Places or designated as a landmark by a governmental entity;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building located in a World Heritage Buffer Zone;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building located in an area designated for development, restoration, or preservation in a main street city under the main street program established under Section 442.014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for a plumbing product required by an ordinance or other regulation implementing a water conservation plan or program described by Section 11.1271 or 13.146, Water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for a plumbing product imposed by the Texas Water Development Board as a condition of applying for or receiving financial assistance under a program administered by the board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3000.004,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3000.004.</w:t>
      </w:r>
      <w:r xml:space="preserve">
        <w:t> </w:t>
      </w:r>
      <w:r xml:space="preserve">
        <w:t> </w:t>
      </w:r>
      <w:r>
        <w:t xml:space="preserve">OTHER PROVISIONS NOT AFFECTED.  This chapter does not affect provisions regarding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installation of a fire sprinkler protection system under Section 1301.551(i), Occupations Code, or Section 775.045(a)(1), Health and Safety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enforcement of land use restrictions contained in plats and other instruments under Subchapter F, Chapter 212, Local Government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212.151,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212.151.</w:t>
      </w:r>
      <w:r xml:space="preserve">
        <w:t> </w:t>
      </w:r>
      <w:r xml:space="preserve">
        <w:t> </w:t>
      </w:r>
      <w:r>
        <w:t xml:space="preserve">MUNICIPALITY COVERED BY SUBCHAPTER.  This subchapter applies only to a municipality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with a population of 1.5 million or more that passes an ordinance that requires uniform application and enforcement of this subchapter with regard to all property and residents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 less than 4,000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two counties, one of which has a population greater than 45,000;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borders Lake Lyndon B. Johnson;</w:t>
      </w:r>
      <w:r>
        <w:t xml:space="preserve">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to a municipality</w:t>
      </w:r>
      <w:r>
        <w:t xml:space="preserve">] that does not have zoning ordinances and passes an ordinance that requires uniform application and enforcement of this subchapter with regard to all property and residents.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1090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11,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1090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26,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139, Nays</w:t>
      </w:r>
      <w:r xml:space="preserve">
        <w:t> </w:t>
      </w:r>
      <w:r>
        <w:t xml:space="preserve">8,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