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87R6570 MP-F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Buckingham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1090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regulations adopted by governmental entities regarding building products, materials, or methods used in the construction or renovation of residential or commercial buildings.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3000.002(c),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This section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program established by a state agency that requires particular standards, incentives, or financing arrangements in order to comply with requirements of a state or federal funding source or housing program;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requirement for a building necessary to consider the building eligible for windstorm and hail insurance coverage under Chapter 2210, Insurance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ordinance or other regulation that regulates outdoor lighting that is adopted for the purpose of reducing light pollution and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adopted by a governmental entity that is certified as a Dark Sky Community by the International Dark-Sky Association as part of the International Dark Sky Places Program;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is adopted by a governmental entity that has adopted a resolution stating the entity's intent to become certified as a Dark Sky Community by the International Dark-Sky Association as part of the International Dark Sky Places Program and does not regulate outdoor lighting in a manner that is more restrictive than the prohibitions or limitations required to become certified as a Dark Sky Community;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 xml:space="preserve">
        <w:t> </w:t>
      </w:r>
      <w:r xml:space="preserve">
        <w:t> </w:t>
      </w:r>
      <w:r>
        <w:t xml:space="preserve">applies to outdoor lighting within five miles of the boundary of a military base in which an active training program is conducted;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 ordinance or order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regulates outdoor lighting;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adopted under Subchapter B, Chapter 229, Local Government Code, or Subchapter B, Chapter 240, Local Government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building located in a place or area designated for its historical, cultural, or architectural importance and significance that a municipality may regulate under Section 211.003(b), Local Government Code, if the municipality: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a certified local government under the National Historic Preservation Act (54 U.S.C. Section 300101 et seq.);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an applicable landmark ordinance that meets the requirements under the certified local government program as determined by the Texas Historical Commission;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building located in a place or area designated for its historical, cultural, or architectural importance and significance by a governmental entity, if designated before April 1, 2019;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building located in an area designated as a historic district on the National Register of Historic Places;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building designated as a Recorded Texas Historic Landmark;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 building designated as a State Archeological Landmark or State Antiquities Landmark;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a building listed on the National Register of Historic Places or designated as a landmark by a governmental entity;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a building located in a World Heritage Buffer Zone;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(12)</w:t>
      </w:r>
      <w:r xml:space="preserve">
        <w:t> </w:t>
      </w:r>
      <w:r xml:space="preserve">
        <w:t> </w:t>
      </w:r>
      <w:r>
        <w:t xml:space="preserve">a building located in an area designated for development, restoration, or preservation in a main street city under the main street program established under Section 442.014.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3000.004,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3000.004.</w:t>
      </w:r>
      <w:r xml:space="preserve">
        <w:t> </w:t>
      </w:r>
      <w:r xml:space="preserve">
        <w:t> </w:t>
      </w:r>
      <w:r>
        <w:t xml:space="preserve">OTHER PROVISIONS NOT AFFECTED.  This chapter does not affect provisions regarding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installation of a fire sprinkler protection system under Section 1301.551(i), Occupations Code, or Section 775.045(a)(1), Health and Safety Code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enforcement of land use restrictions contained in plats and other instruments under Subchapter F, Chapter 212, Local Government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