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by public institutions of higher education of certain information regarding textbooks and digital courseware and certain charges assessed for those items.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51, Education Code, is amended by adding Section 51.456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51.456.</w:t>
      </w:r>
      <w:r>
        <w:rPr>
          <w:u w:val="single"/>
        </w:rPr>
        <w:t xml:space="preserve"> </w:t>
      </w:r>
      <w:r>
        <w:rPr>
          <w:u w:val="single"/>
        </w:rPr>
        <w:t xml:space="preserve"> </w:t>
      </w:r>
      <w:r>
        <w:rPr>
          <w:u w:val="single"/>
        </w:rPr>
        <w:t xml:space="preserve">AUTOMATIC CHARGES FOR TEXTBOOKS OR DIGITAL COURSEWARE.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courseware"</w:t>
      </w:r>
      <w:r>
        <w:rPr>
          <w:u w:val="single"/>
        </w:rPr>
        <w:t xml:space="preserve"> </w:t>
      </w:r>
      <w:r>
        <w:rPr>
          <w:u w:val="single"/>
        </w:rPr>
        <w:t xml:space="preserve">means a system of instructional content and software designed to support the delivery of all or part of a particular course. </w:t>
      </w:r>
      <w:r>
        <w:rPr>
          <w:u w:val="single"/>
        </w:rPr>
        <w:t xml:space="preserve"> </w:t>
      </w:r>
      <w:r>
        <w:rPr>
          <w:u w:val="single"/>
        </w:rPr>
        <w:t xml:space="preserve">The term does not include a learning management platform or any other software system designed to provide support for courses generally.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notwithstanding Section 51.451,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shall disclose to a student enrolled at the institution as provided by this section an automatic charge for textbooks or access to digital courseware assessed by the institution or another entity to the student on the student's enrollment in a course, course section, or program or in the institution for the applicable semester or term, regardless of whether the charge is assessed on an opt-in, opt-out, or compulsory basis. </w:t>
      </w:r>
      <w:r>
        <w:rPr>
          <w:u w:val="single"/>
        </w:rPr>
        <w:t xml:space="preserve"> </w:t>
      </w:r>
      <w:r>
        <w:rPr>
          <w:u w:val="single"/>
        </w:rPr>
        <w:t xml:space="preserve">This subsection does not apply to a charge assessed for a purchase initiated by the student separately from the enrollment process at the institution, such as the purchase of a textbook at a college bookstore that may be charged to the student's account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charge described by Subsection (b) that is assessed based on the cost of required or recommended textbooks or access to digital courseware for a certain course or course section in which the student is enrolled, the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prominent location in the institution's course schedule under Section 51.452, state or provide an Internet website link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full amount of the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charge is for a textbook in a primarily electronic format or for access to digital courseware, the terms under which the publisher of the textbook or digital courseware collects and uses student data obtained through a student's use of the textbook or digital courseware;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provision that allows the student to opt in or opt out of the charge or the collection or use of the student's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itemize the charge separately from any other charges assessed for the course or course section in the institution's billing to the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charge described by Subsection (b) that is assessed on the basis of the number of semester credit hours or the equivalent or the number of courses in which the student is enrolled or on any other basis not described by Subsection (c), the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(e), include the amount of the charge in the institution's: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under Section 54.015;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incidental fees under Section 54.504;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prominent location in any written or electronic agreement authorizing the charge, disclose: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charge is for a textbook in a primarily electronic format or for access to digital courseware, the terms under which the publisher of the textbook or digital courseware collects and uses student data obtained through a student's use of the textbook or digital courseware;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provision that allows the student to opt in or opt out of the charge or the collection or use of the student's data.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(d)(1), an institution of higher education is not required to include the amount of a charge described by that subsection in the institution's tuition or incidental fees if the charge is assessed to a student only on an opt-in basis. </w:t>
      </w:r>
      <w:r>
        <w:rPr>
          <w:u w:val="single"/>
        </w:rPr>
        <w:t xml:space="preserve"> </w:t>
      </w:r>
      <w:r>
        <w:rPr>
          <w:u w:val="single"/>
        </w:rPr>
        <w:t xml:space="preserve">For purposes of this subsection, a charge is not considered to be assessed on an opt-in basis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textbooks or access to digital courseware for which the charge is assessed is required for the student to earn the maximum possible grade for a course in which the student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charge for textbooks, the textbooks may only be legally obtained from the institution or certain vendors specified by the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agreement between an institution of higher education and an entity under which the institution assesses on the entity's behalf or allows the entity to assess a charge described by Subsection (b) to students enrolled at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for a quota, charge, or other penalty based on the number or percentage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to whom the charge is assessed;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courses or course sections for which the charge is assessed;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public information under Chapter 552,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effort by an institution of higher education to reduce the cost of textbooks or access to digital courseware for students enrolled at the institution must also focus on maintaining the quality of education and protecting academic freedom.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may not be construed to prohibit an institution of higher education from entering into an agreement with an entity under which a charge for textbooks or access to digital courseware is assessed to students enrolled at the institution on an opt-in or opt-out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54.504,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charge described by Section 51.456(b) is included as part of an institution of higher education's incidental fees under this section that are assessed to each student, or each undergraduate student, enrolled at the institution who does not opt out of the charge, the governing board of the institution shall include a description of the amount of the charge in any notice of the amount of the institution's tuition provided to current or prospective students, the parents of current or prospective students, or the public.  The description must state or provide an Internet website link to any provision that allows a student to opt out of the charge.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2022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