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1095</w:t>
      </w:r>
    </w:p>
    <w:p w:rsidR="003F3435" w:rsidRDefault="0032493E">
      <w:pPr>
        <w:ind w:firstLine="720"/>
        <w:jc w:val="both"/>
      </w:pPr>
      <w:r>
        <w:t xml:space="preserve">(Dutton)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regarding the availability to public school students of college credit and work-based education programs and subsidies for fees paid to take certain advanced placement tests.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28.010,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28.010.</w:t>
      </w:r>
      <w:r xml:space="preserve">
        <w:t> </w:t>
      </w:r>
      <w:r xml:space="preserve">
        <w:t> </w:t>
      </w:r>
      <w:r>
        <w:t xml:space="preserve">NOTIFICATION REGARDING COLLEGE CREDIT </w:t>
      </w:r>
      <w:r>
        <w:rPr>
          <w:u w:val="single"/>
        </w:rPr>
        <w:t xml:space="preserve">AND WORK-BASED EDUCATION</w:t>
      </w:r>
      <w:r>
        <w:t xml:space="preserve">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28.010(a),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Each school year, a school district shall notify the parent of each district student enrolled in grade nine or above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availability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programs in the district under which a student may earn college credit, including advanced placement programs, dual credit programs, joint high school and college credit programs, and international baccalaureate programs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career and technology education programs or other work-based education programs in the district, including any internship, externship, or apprenticeship programs or a P-TECH program under Subchapter N, Chapter 29;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subsidies based on financial need available for fees paid to take college advanced placement tests or international baccalaureate examinations under Section 28.054;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qualifications for enrolling in programs described by Subdivision (1)(A) or (B)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2021-2022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