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1109</w:t>
      </w:r>
    </w:p>
    <w:p w:rsidR="003F3435" w:rsidRDefault="0032493E">
      <w:pPr>
        <w:ind w:firstLine="720"/>
        <w:jc w:val="both"/>
      </w:pPr>
      <w:r>
        <w:t xml:space="preserve">(Anchia)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Christina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 (u)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As part of the essential knowledge and skills for the health curriculum under Subsection (a)(2)(B), the State Board of Education shall adopt rules requiring students to receive instruction on the prevention of child abuse, family violence, and dating violence at least once in middle or junior high school and at least twice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essential knowledge and skills relating to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