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87R1285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schools to provide instruction and materials and adopt policies relating to the prevention of child abuse, family violence, and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Christina Blubaugh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adding Subsection (u)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As part of the essential knowledge and skills for the health curriculum under Subsection (a)(2)(B), the State Board of Education shall adopt rules requiring students to receive instruction on the prevention of child abuse, family violence, and dating violence at least once in middle or junior high school and at least twice in high school. The instruction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dating violence policy adopted by the student's school district under Section 37.0831;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prevalence of dating violence and the recognition of abuse warning signs;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for reporting violence or abuse;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educational materials or resources available to students under Section 37.0831(c).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37.0831, Education Code, is amended to read as follows:</w:t>
      </w:r>
    </w:p>
    <w:p w:rsidR="003F3435" w:rsidRDefault="0032493E">
      <w:pPr>
        <w:spacing w:line="480" w:lineRule="auto"/>
        <w:ind w:firstLine="720"/>
        <w:jc w:val="both"/>
      </w:pPr>
      <w:r>
        <w:t xml:space="preserve">Sec.</w:t>
      </w:r>
      <w:r xml:space="preserve">
        <w:t> </w:t>
      </w:r>
      <w:r>
        <w:t xml:space="preserve">37.0831.</w:t>
      </w:r>
      <w:r xml:space="preserve">
        <w:t> </w:t>
      </w:r>
      <w:r xml:space="preserve">
        <w:t> </w:t>
      </w:r>
      <w:r>
        <w:t xml:space="preserve">DATING VIOLENCE POLICIES</w:t>
      </w:r>
      <w:r>
        <w:rPr>
          <w:u w:val="single"/>
        </w:rPr>
        <w:t xml:space="preserve">; EDUCATIONAL MATERIALS AND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37.0831,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definition of dating violence that includes the intentional use of physical, sexual, verbal, or emotional abuse by a person to harm, threaten, intimidate, or control another person in a dating relationship, as defined by Section 71.0021,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clear statement that dating violence is not tolerated at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procedures and guidelines for students who are victims of dating violence;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information regarding the essential knowledge and skills relating to dating violence required under Section 28.002(u);</w:t>
      </w:r>
      <w:r>
        <w:t xml:space="preserv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counseling for affected students, and awareness education for students and 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a school district shall make available to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age-appropriate educational materials that include information on the dangers of dating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to students seeking help.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