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verification of the citizenship status of certain registered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16.0332, Election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t xml:space="preserve">[</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have indicated a lack of citizenship status in connection with a motor vehicle or Department of Public Safety record</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w:t>
      </w:r>
      <w:r>
        <w:t xml:space="preserve"> </w:t>
      </w:r>
      <w:r>
        <w:t xml:space="preserve">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citizenship status information provided on voter registration applications.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