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1120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notice and protest provisions applicable to municipal zoning changes.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211.006(a) and (d),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wishing to exercise the authority relating to zoning regulations and zoning district boundaries shall establish procedures for adopting</w:t>
      </w:r>
      <w:r>
        <w:rPr>
          <w:u w:val="single"/>
        </w:rPr>
        <w:t xml:space="preserve">, revising,</w:t>
      </w:r>
      <w:r>
        <w:t xml:space="preserve"> and enforcing the regulations and boundaries.   </w:t>
      </w:r>
      <w:r>
        <w:rPr>
          <w:u w:val="single"/>
        </w:rPr>
        <w:t xml:space="preserve">The adoption of initial  zoning regulations and zoning district boundaries, a comprehensive revision of the regulations or boundaries, or an amendment of a regulation that applies uniformly across boundaries or areas of the municipality</w:t>
      </w:r>
      <w:r>
        <w:t xml:space="preserve">  [</w:t>
      </w:r>
      <w:r>
        <w:rPr>
          <w:strike/>
        </w:rPr>
        <w:t xml:space="preserve">A regulation or boundary</w:t>
      </w:r>
      <w:r>
        <w:t xml:space="preserve">] is not effective until after a public hearing on the matter at which parties in interest and citizens have an opportunity to be heard.  Before the 15th day before the date of the hearing, notice of the time and place of the hearing must be published in an official newspaper or a newspaper of general circulation in the municipality.</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If a</w:t>
      </w:r>
      <w:r>
        <w:t xml:space="preserve">] proposed change to a regulation or boundary </w:t>
      </w:r>
      <w:r>
        <w:rPr>
          <w:u w:val="single"/>
        </w:rPr>
        <w:t xml:space="preserve">that only affects an individual lot or a limited area of contiguous lots or land may be</w:t>
      </w:r>
      <w:r>
        <w:t xml:space="preserve"> [</w:t>
      </w:r>
      <w:r>
        <w:rPr>
          <w:strike/>
        </w:rPr>
        <w:t xml:space="preserve">is</w:t>
      </w:r>
      <w:r>
        <w:t xml:space="preserve">] protested in accordance with this subsection</w:t>
      </w:r>
      <w:r>
        <w:rPr>
          <w:u w:val="single"/>
        </w:rPr>
        <w:t xml:space="preserve">. If protested</w:t>
      </w:r>
      <w:r>
        <w:t xml:space="preserve">, the proposed change must receive, in order to take effect, the affirmative vote of at least three-fourths of all members of the governing body.  The protest must be written and signed by the owners of at least 20 percent of either:</w:t>
      </w:r>
    </w:p>
    <w:p w:rsidR="003F3435" w:rsidRDefault="0032493E">
      <w:pPr>
        <w:spacing w:line="480" w:lineRule="auto"/>
        <w:ind w:firstLine="1440"/>
        <w:jc w:val="both"/>
      </w:pPr>
      <w:r>
        <w:t xml:space="preserve">(1)</w:t>
      </w:r>
      <w:r xml:space="preserve">
        <w:t> </w:t>
      </w:r>
      <w:r xml:space="preserve">
        <w:t> </w:t>
      </w:r>
      <w:r>
        <w:t xml:space="preserve">the area of the lots or land covered by the proposed change; or</w:t>
      </w:r>
    </w:p>
    <w:p w:rsidR="003F3435" w:rsidRDefault="0032493E">
      <w:pPr>
        <w:spacing w:line="480" w:lineRule="auto"/>
        <w:ind w:firstLine="1440"/>
        <w:jc w:val="both"/>
      </w:pPr>
      <w:r>
        <w:t xml:space="preserve">(2)</w:t>
      </w:r>
      <w:r xml:space="preserve">
        <w:t> </w:t>
      </w:r>
      <w:r xml:space="preserve">
        <w:t> </w:t>
      </w:r>
      <w:r>
        <w:t xml:space="preserve">the area of the lots or land immediately adjoining the area covered by the proposed change and extending 200 feet from that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211.007(c),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Before the 10th day before the hearing date, written notice of each public hearing before the zoning commission on a proposed change in a zoning classification </w:t>
      </w:r>
      <w:r>
        <w:rPr>
          <w:u w:val="single"/>
        </w:rPr>
        <w:t xml:space="preserve">of an individual property or a limited area of contiguous properties</w:t>
      </w:r>
      <w:r>
        <w:t xml:space="preserve"> shall be sent to each owner, as indicated by the most recently approved municipal tax roll, of real property within 200 feet of the property </w:t>
      </w:r>
      <w:r>
        <w:rPr>
          <w:u w:val="single"/>
        </w:rPr>
        <w:t xml:space="preserve">or area</w:t>
      </w:r>
      <w:r>
        <w:t xml:space="preserve"> on which the change in classification is proposed.  The notice may be served by its deposit in the municipality, properly addressed with postage paid, in the United States mail.  If the property within 200 feet of the property </w:t>
      </w:r>
      <w:r>
        <w:rPr>
          <w:u w:val="single"/>
        </w:rPr>
        <w:t xml:space="preserve">or area</w:t>
      </w:r>
      <w:r>
        <w:t xml:space="preserve"> on which the change is proposed is located in territory annexed to the municipality and is not included on the most recently approved municipal tax roll, the notice shall be given in the manner provided by Section 211.006(a).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amendments made by this Act to Sections 211.006 and 211.007, Local Government Code, are a clarification of existing law and do not imply that existing Sections 211.006 and 211.007, Local Government Code, may be construed as inconsistent with those sections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