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Family First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FAMILY FIRST LICENSE PLATES.  (a)  The department shall issue specialty license plates that include the words "Family First."  The department shall design the plates in consultation with a representative of the Family First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with chapters operating in schools in this state whose primary purpose is promoting the importance of fatherhood.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1123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28,</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1123 passed the House, with amendments,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2, two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134,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