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1123</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5,</w:t>
      </w:r>
      <w:r xml:space="preserve">
        <w:t> </w:t>
      </w:r>
      <w:r>
        <w:t xml:space="preserve">2021; March</w:t>
      </w:r>
      <w:r xml:space="preserve">
        <w:t> </w:t>
      </w:r>
      <w:r>
        <w:t xml:space="preserve">18,</w:t>
      </w:r>
      <w:r xml:space="preserve">
        <w:t> </w:t>
      </w:r>
      <w:r>
        <w:t xml:space="preserve">2021, read first time and referred to Committee on Transportation; April</w:t>
      </w:r>
      <w:r xml:space="preserve">
        <w:t> </w:t>
      </w:r>
      <w:r>
        <w:t xml:space="preserve">8,</w:t>
      </w:r>
      <w:r xml:space="preserve">
        <w:t> </w:t>
      </w:r>
      <w:r>
        <w:t xml:space="preserve">2021, reported favorably by the following vote:</w:t>
      </w:r>
      <w:r>
        <w:t xml:space="preserve"> </w:t>
      </w:r>
      <w:r>
        <w:t xml:space="preserve"> </w:t>
      </w:r>
      <w:r>
        <w:t xml:space="preserve">Yeas 9, Nays 0; April</w:t>
      </w:r>
      <w:r xml:space="preserve">
        <w:t> </w:t>
      </w:r>
      <w:r>
        <w:t xml:space="preserve">8,</w:t>
      </w:r>
      <w:r xml:space="preserve">
        <w:t> </w:t>
      </w:r>
      <w:r>
        <w:t xml:space="preserve">2021,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Seliger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issuance of Family First specialty license plates.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G, Chapter 504, Transportation Code, is amended by adding Section 504.675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504.675.</w:t>
      </w:r>
      <w:r>
        <w:rPr>
          <w:u w:val="single"/>
        </w:rPr>
        <w:t xml:space="preserve"> </w:t>
      </w:r>
      <w:r>
        <w:rPr>
          <w:u w:val="single"/>
        </w:rPr>
        <w:t xml:space="preserve"> </w:t>
      </w:r>
      <w:r>
        <w:rPr>
          <w:u w:val="single"/>
        </w:rPr>
        <w:t xml:space="preserve">FAMILY FIRST LICENSE PLATES.  (a)  The department shall issue specialty license plates that include the words "Family First."  The department shall design the plates in consultation with a representative of the Family First nonprofit organization.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deduction of the department's administrative costs, the remainder of the fee for issuance of the license plates shall be deposited to the credit of an account created by the comptroller in the manner provided by Section 504.6012(b).  Money deposited to that account may be used only by the Texas Education Agency to make grants to a nonprofit organization with chapters operating in schools in this state whose primary purpose is promoting the importance of fatherhood.</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2021.</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