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87R448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1128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pollinator health.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131, Agriculture Code, is amended by adding Sections 131.011 and 131.012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131.011.</w:t>
      </w:r>
      <w:r>
        <w:rPr>
          <w:u w:val="single"/>
        </w:rPr>
        <w:t xml:space="preserve"> </w:t>
      </w:r>
      <w:r>
        <w:rPr>
          <w:u w:val="single"/>
        </w:rPr>
        <w:t xml:space="preserve"> </w:t>
      </w:r>
      <w:r>
        <w:rPr>
          <w:u w:val="single"/>
        </w:rPr>
        <w:t xml:space="preserve">POLLINATOR HEALTH EDUCATION.  (a) </w:t>
      </w:r>
      <w:r>
        <w:rPr>
          <w:u w:val="single"/>
        </w:rPr>
        <w:t xml:space="preserve"> </w:t>
      </w:r>
      <w:r>
        <w:rPr>
          <w:u w:val="single"/>
        </w:rPr>
        <w:t xml:space="preserve">The Texas A&amp;M AgriLife Extension Service, in consultation with the department, shall develop educational materials regarding the best practices for avoiding adverse effects from pesticides on populations of bees and other pollinating insects. </w:t>
      </w:r>
      <w:r>
        <w:rPr>
          <w:u w:val="single"/>
        </w:rPr>
        <w:t xml:space="preserve"> </w:t>
      </w:r>
      <w:r>
        <w:rPr>
          <w:u w:val="single"/>
        </w:rPr>
        <w:t xml:space="preserve">The educational materials must include information on measures that pesticide applicators may take to protect honeybees and bumblebees. </w:t>
      </w:r>
      <w:r>
        <w:rPr>
          <w:u w:val="single"/>
        </w:rPr>
        <w:t xml:space="preserve"> </w:t>
      </w:r>
      <w:r>
        <w:rPr>
          <w:u w:val="single"/>
        </w:rPr>
        <w:t xml:space="preserve">The Texas A&amp;M AgriLife Extension Service and the department shall jointly design the requirements to ensure that any pesticide applicator applying or supervising the application of a pesticide is knowledgeable regarding alternatives to, the appropriateness of, and precautions for pesticide use that may be injurious to the health of bees and other pollinating insects.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educational materials described in this section a part of the education required to obtain a pesticide applicator license under Chapter 76.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131.012.</w:t>
      </w:r>
      <w:r>
        <w:rPr>
          <w:u w:val="single"/>
        </w:rPr>
        <w:t xml:space="preserve"> </w:t>
      </w:r>
      <w:r>
        <w:rPr>
          <w:u w:val="single"/>
        </w:rPr>
        <w:t xml:space="preserve"> </w:t>
      </w:r>
      <w:r>
        <w:rPr>
          <w:u w:val="single"/>
        </w:rPr>
        <w:t xml:space="preserve">TASK FORCE ON POLLINATOR HEALTH.  (a) </w:t>
      </w:r>
      <w:r>
        <w:rPr>
          <w:u w:val="single"/>
        </w:rPr>
        <w:t xml:space="preserve"> </w:t>
      </w:r>
      <w:r>
        <w:rPr>
          <w:u w:val="single"/>
        </w:rPr>
        <w:t xml:space="preserve">In this section, "task force"</w:t>
      </w:r>
      <w:r>
        <w:rPr>
          <w:u w:val="single"/>
        </w:rPr>
        <w:t xml:space="preserve"> </w:t>
      </w:r>
      <w:r>
        <w:rPr>
          <w:u w:val="single"/>
        </w:rPr>
        <w:t xml:space="preserve">means the task force on pollinator health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consists of the following 10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of the senate, appointed by the lieutenant governor after consultation with the speaker of the house of representatives, who serves as a nonvoting member of the task 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of the house of representatives, appointed by the speaker of the house of representatives after consultation with the lieutenant governor, who is from a different political party than the member appointed under Subdivision (1) and who serves as a nonvoting member of the task 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governor, who is a university faculty member specializing in the science of pollinator health;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governor, representing an advocacy group for nurseries and greenhouse producers;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representing an advocacy group for farmers;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governor, representing an advocacy group dedicated to the protection of pollinators and invertebrates;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governor, representing an advocacy group dedicated to environmental protection;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governor, representing an advocacy group for retailers;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appointed by the governor, who is certified as a master gardener by the Texas A&amp;M AgriLife Extension Service and who represents the public;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appointed by the governor, who is a beekeeper and who represents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 undertake activities to examine issues relevant to pollinator health,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proposed and enacted pesticide regulations from other states and countries that are more protective of pollinator health than the pesticide regulations of the United States Environmental Protection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studying public education and outreach plans regarding pollinator health that have been successful in other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evaluating the effectiveness of applicator licensing and other legal requirements, and of any state or federal incentives, in matters affecting pollinator health;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identifying possible funding streams for efforts to promote or protect pollinator health;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investigating the means used by other states to gather data on populations of bees or other pollinating insects;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evaluating existing best management practices for applying neonicotinoids in a manner that avoids harming pollinating insects.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task force may take actions necessary and proper to carry out the work of the task force, including scheduling hearings and taking testimony on matters related to pollinator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majority of the voting members of the task force constitutes a quorum for the transaction of business.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Official action by the task force requires the approval of five or more voting members of the task force.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task force shall elect one of its voting members to serve as presiding officer.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appropriate appointing officer shall appoint a qualified person to fill a vacancy on the task force.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task force shall meet at times and places specified by the call of the presiding officer or of a majority of the voting members of the task force.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task force may adopt bylaws necessary for the operation of the task force.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later than October 1, 2022, the task force shall submit a report, which may include recommendations for legislation, to the standing committees of the senate and the house of representatives with primary jurisdiction over agriculture. The task force may provide progress reports to those committees before October 1, 2022.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department shall provide staff support to the task force.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Members of the task force who are not members of the legislature are not entitled to compensation but may be reimbursed for actual and necessary travel and other expenses incurred in the performance of their official duties in the manner and amounts provided for in the General Appropriations Act.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Each state agency shall assist the task force in the performance of its duties and, to the extent permitted by laws relating to confidentiality, shall furnish information and advice that the members of the task force consider necessary to perform their duties.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expires December 31,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October 1, 2021, the relevant appointing authorities shall appoint the members of the task force on pollinator health under Section 131.012(b),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