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1132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crafted precious metal dealers; authorizing the change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1956.051, Occupations Code, is amended by amending Subdivision (3) and adding Subdivision (5-a) to read as follows:</w:t>
      </w:r>
    </w:p>
    <w:p w:rsidR="003F3435" w:rsidRDefault="0032493E">
      <w:pPr>
        <w:spacing w:line="480" w:lineRule="auto"/>
        <w:ind w:firstLine="1440"/>
        <w:jc w:val="both"/>
      </w:pPr>
      <w:r>
        <w:t xml:space="preserve">(3)</w:t>
      </w:r>
      <w:r xml:space="preserve">
        <w:t> </w:t>
      </w:r>
      <w:r xml:space="preserve">
        <w:t> </w:t>
      </w:r>
      <w:r>
        <w:t xml:space="preserve">"Crafted precious metal" means jewelry, silverware, an art object, or another object, made wholly or partly from precious metal </w:t>
      </w:r>
      <w:r>
        <w:rPr>
          <w:u w:val="single"/>
        </w:rPr>
        <w:t xml:space="preserve">and used primarily for personal, family, or household purchases.  The term does not include: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 other than</w:t>
      </w:r>
      <w:r>
        <w:t xml:space="preserve">] a coin</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a bar</w:t>
      </w:r>
      <w:r>
        <w:rPr>
          <w:u w:val="single"/>
        </w:rPr>
        <w:t xml:space="preserve">;</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a commemorative medallion</w:t>
      </w:r>
      <w:r>
        <w:rPr>
          <w:u w:val="single"/>
        </w:rPr>
        <w:t xml:space="preserv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item selling at 105 percent or more of</w:t>
      </w:r>
      <w:r>
        <w:t xml:space="preserve">[</w:t>
      </w:r>
      <w:r>
        <w:rPr>
          <w:strike/>
        </w:rPr>
        <w:t xml:space="preserve">, or scrap or a broken item selling at five percent or more than</w:t>
      </w:r>
      <w:r>
        <w:t xml:space="preserve">] the scrap value of the item</w:t>
      </w:r>
      <w:r>
        <w:rPr>
          <w:u w:val="single"/>
        </w:rPr>
        <w:t xml:space="preserve">;</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item made wholly or partly from precious metal and used for a dental, pharmaceutical, or medical application;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item made wholly or partly from precious metal  extracted, recovered, or salvaged from an industrial by-product or industrial waste product</w:t>
      </w:r>
      <w:r>
        <w:t xml:space="preserve">.</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"Jewelry store" means a retail establishment that derives 75 percent or more of its annual revenue from the sale to consumers of crafted precious metal or other items of personal adornment, including watches, bracelets, necklaces, brooches, rings, and earrings.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1956.0612(c),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prescribe the processing fee in an amount necessary to cover the costs of administering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1956.0613, Occupations Code, is amended to read as follows:</w:t>
      </w:r>
    </w:p>
    <w:p w:rsidR="003F3435" w:rsidRDefault="0032493E">
      <w:pPr>
        <w:spacing w:line="480" w:lineRule="auto"/>
        <w:ind w:firstLine="720"/>
        <w:jc w:val="both"/>
      </w:pPr>
      <w:r>
        <w:t xml:space="preserve">Sec.</w:t>
      </w:r>
      <w:r xml:space="preserve">
        <w:t> </w:t>
      </w:r>
      <w:r>
        <w:t xml:space="preserve">1956.0613.</w:t>
      </w:r>
      <w:r xml:space="preserve">
        <w:t> </w:t>
      </w:r>
      <w:r xml:space="preserve">
        <w:t> </w:t>
      </w:r>
      <w:r>
        <w:t xml:space="preserve">INVESTIGATION BY COMMISSIONER.  The commissioner shall:</w:t>
      </w:r>
    </w:p>
    <w:p w:rsidR="003F3435" w:rsidRDefault="0032493E">
      <w:pPr>
        <w:spacing w:line="480" w:lineRule="auto"/>
        <w:ind w:firstLine="1440"/>
        <w:jc w:val="both"/>
      </w:pPr>
      <w:r>
        <w:t xml:space="preserve">(1)</w:t>
      </w:r>
      <w:r xml:space="preserve">
        <w:t> </w:t>
      </w:r>
      <w:r xml:space="preserve">
        <w:t> </w:t>
      </w:r>
      <w:r>
        <w:t xml:space="preserve">monitor the operations of a dealer to ensure compliance with this </w:t>
      </w:r>
      <w:r>
        <w:rPr>
          <w:u w:val="single"/>
        </w:rPr>
        <w:t xml:space="preserve">subchapter</w:t>
      </w:r>
      <w:r>
        <w:t xml:space="preserve"> [</w:t>
      </w:r>
      <w:r>
        <w:rPr>
          <w:strike/>
        </w:rPr>
        <w:t xml:space="preserve">chapter</w:t>
      </w:r>
      <w:r>
        <w:t xml:space="preserve">]; and</w:t>
      </w:r>
    </w:p>
    <w:p w:rsidR="003F3435" w:rsidRDefault="0032493E">
      <w:pPr>
        <w:spacing w:line="480" w:lineRule="auto"/>
        <w:ind w:firstLine="1440"/>
        <w:jc w:val="both"/>
      </w:pPr>
      <w:r>
        <w:t xml:space="preserve">(2)</w:t>
      </w:r>
      <w:r xml:space="preserve">
        <w:t> </w:t>
      </w:r>
      <w:r xml:space="preserve">
        <w:t> </w:t>
      </w:r>
      <w:r>
        <w:t xml:space="preserve">receive and investigate complaints against a dealer or a person acting as a dealer.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1956, Occupations Code, is amended by adding Section 1956.06131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1956.06131.</w:t>
      </w:r>
      <w:r>
        <w:rPr>
          <w:u w:val="single"/>
        </w:rPr>
        <w:t xml:space="preserve"> </w:t>
      </w:r>
      <w:r>
        <w:rPr>
          <w:u w:val="single"/>
        </w:rPr>
        <w:t xml:space="preserve"> </w:t>
      </w:r>
      <w:r>
        <w:rPr>
          <w:u w:val="single"/>
        </w:rPr>
        <w:t xml:space="preserve">EXAMINATION BY COMMISSIONER.  (a)  At the times the commissioner considers necessary, the commissioner or the commissioner's representative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each place of business of each dealer;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investigate the dealer's transactions and records, including books, accounts, papers, and correspondence, to the extent the transactions and records pertain to the business regulated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dealer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the commissioner or the commissioner's representative free access to the dealer's office, place of business, files, safes, and vaults;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commissioner or the representative to make a copy of an item that may be investigated under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or the commissioner's representative shall examine under Subsection (a) at least 10 dealers each calendar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with respect to a jewelry store.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1956, Occupations Code, is amended by adding Section 1956.0616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1956.0616.</w:t>
      </w:r>
      <w:r>
        <w:rPr>
          <w:u w:val="single"/>
        </w:rPr>
        <w:t xml:space="preserve"> </w:t>
      </w:r>
      <w:r>
        <w:rPr>
          <w:u w:val="single"/>
        </w:rPr>
        <w:t xml:space="preserve"> </w:t>
      </w:r>
      <w:r>
        <w:rPr>
          <w:u w:val="single"/>
        </w:rPr>
        <w:t xml:space="preserve">NOTICE OF ENFORCEMENT ORDER.  (a)  As soon as practicable after an enforcement order against a dealer for a violation of this subchapter becomes final, including an order assessing an administrative penalty or an order to pay restitution under Section 14.251(b)(3), Finance Code, the commissioner shall provide notice of the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of police of the municipality in which the violation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sheriff of the county in which the violation occurred, if the violation did not occur in a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enforcement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on complaint procedures described by Section 14.062(b), Finance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commissioner considers necessary or proper to the enforcement of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1956.052, 1956.053, and 1956.054, Occupations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Except as provided by Subsection (b) of this section, this Act takes effect September 1, 2021.</w:t>
      </w:r>
    </w:p>
    <w:p w:rsidR="003F3435" w:rsidRDefault="0032493E">
      <w:pPr>
        <w:spacing w:line="480" w:lineRule="auto"/>
        <w:ind w:firstLine="720"/>
        <w:jc w:val="both"/>
      </w:pPr>
      <w:r>
        <w:t xml:space="preserve">(b)</w:t>
      </w:r>
      <w:r xml:space="preserve">
        <w:t> </w:t>
      </w:r>
      <w:r xml:space="preserve">
        <w:t> </w:t>
      </w:r>
      <w:r>
        <w:t xml:space="preserve">Section 1956.06131, Occupations Code, as added by this Act, takes effect January 1, 2022.</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1132 passed the Senate on </w:t>
      </w:r>
      <w:r>
        <w:t xml:space="preserve"> </w:t>
      </w:r>
      <w:r>
        <w:t xml:space="preserve"> </w:t>
      </w:r>
      <w:r>
        <w:t xml:space="preserve"> </w:t>
      </w:r>
      <w:r>
        <w:t xml:space="preserve">April 13, 2021, by the following vote:  Yeas</w:t>
      </w:r>
      <w:r xml:space="preserve">
        <w:t> </w:t>
      </w:r>
      <w:r>
        <w:t xml:space="preserve">31, Nays</w:t>
      </w:r>
      <w:r xml:space="preserve">
        <w:t> </w:t>
      </w:r>
      <w:r>
        <w:t xml:space="preserve">0; and that the Senate concurred in House amendment on May 28, 2021,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1132 passed the House, with amendment, on May 23, 2021, by the following vote:  Yeas</w:t>
      </w:r>
      <w:r xml:space="preserve">
        <w:t> </w:t>
      </w:r>
      <w:r>
        <w:t xml:space="preserve">126, Nays</w:t>
      </w:r>
      <w:r xml:space="preserve">
        <w:t> </w:t>
      </w:r>
      <w:r>
        <w:t xml:space="preserve">19,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