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implementation of certain health care provider initiatives and measures designed to reduce costs and improve recipient health outcomes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531.085, Government Code, is amended to read as follows:</w:t>
      </w:r>
    </w:p>
    <w:p w:rsidR="003F3435" w:rsidRDefault="0032493E">
      <w:pPr>
        <w:spacing w:line="480" w:lineRule="auto"/>
        <w:ind w:firstLine="720"/>
        <w:jc w:val="both"/>
      </w:pPr>
      <w:r>
        <w:t xml:space="preserve">Sec.</w:t>
      </w:r>
      <w:r xml:space="preserve">
        <w:t> </w:t>
      </w:r>
      <w:r>
        <w:t xml:space="preserve">531.085.</w:t>
      </w:r>
      <w:r xml:space="preserve">
        <w:t> </w:t>
      </w:r>
      <w:r xml:space="preserve">
        <w:t> </w:t>
      </w:r>
      <w:r>
        <w:t xml:space="preserve">HOSPITAL EMERGENCY ROOM USE REDUCTION INITIATIVES.  </w:t>
      </w:r>
      <w:r>
        <w:rPr>
          <w:u w:val="single"/>
        </w:rPr>
        <w:t xml:space="preserve">(a)</w:t>
      </w:r>
      <w:r>
        <w:t xml:space="preserve"> </w:t>
      </w:r>
      <w:r>
        <w:t xml:space="preserve"> </w:t>
      </w:r>
      <w:r>
        <w:t xml:space="preserve">The commission shall develop and implement a comprehensive plan to reduce the use of hospital emergency room services by recipients under Medicaid.  The plan may include:</w:t>
      </w:r>
    </w:p>
    <w:p w:rsidR="003F3435" w:rsidRDefault="0032493E">
      <w:pPr>
        <w:spacing w:line="480" w:lineRule="auto"/>
        <w:ind w:firstLine="1440"/>
        <w:jc w:val="both"/>
      </w:pPr>
      <w:r>
        <w:t xml:space="preserve">(1)</w:t>
      </w:r>
      <w:r xml:space="preserve">
        <w:t> </w:t>
      </w:r>
      <w:r xml:space="preserve">
        <w:t> </w:t>
      </w:r>
      <w:r>
        <w:t xml:space="preserve">a pilot program designed to facilitate program participants in accessing an appropriate level of health care, which may include as components:</w:t>
      </w:r>
    </w:p>
    <w:p w:rsidR="003F3435" w:rsidRDefault="0032493E">
      <w:pPr>
        <w:spacing w:line="480" w:lineRule="auto"/>
        <w:ind w:firstLine="2160"/>
        <w:jc w:val="both"/>
      </w:pPr>
      <w:r>
        <w:t xml:space="preserve">(A)</w:t>
      </w:r>
      <w:r xml:space="preserve">
        <w:t> </w:t>
      </w:r>
      <w:r xml:space="preserve">
        <w:t> </w:t>
      </w:r>
      <w:r>
        <w:t xml:space="preserve">providing program participants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program participants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health care providers, other than hospitals, are given financial incentives for treating recipients outside of normal business hours to divert those recipients from hospital emergency rooms;</w:t>
      </w:r>
    </w:p>
    <w:p w:rsidR="003F3435" w:rsidRDefault="0032493E">
      <w:pPr>
        <w:spacing w:line="480" w:lineRule="auto"/>
        <w:ind w:firstLine="1440"/>
        <w:jc w:val="both"/>
      </w:pPr>
      <w:r>
        <w:t xml:space="preserve">(3)</w:t>
      </w:r>
      <w:r xml:space="preserve">
        <w:t> </w:t>
      </w:r>
      <w:r xml:space="preserve">
        <w:t> </w:t>
      </w:r>
      <w:r>
        <w:t xml:space="preserve">payment of a nominal referral fee to hospital emergency rooms that perform an initial medical evaluation of a recipient and subsequently refer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managed care organization that enters into a contract with the commission under Chapter 533 contacts, by telephone or mail, a recipient who accesses a hospital emergency room three times during a six-month period and provides the recipient with information on ways the recipient may secure a medical home to avoid unnecessary treatment at hospital emergency rooms;</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under Medicaid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 health care needs of their children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hospital emergency rooms.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531.0862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531.0862.</w:t>
      </w:r>
      <w:r>
        <w:rPr>
          <w:u w:val="single"/>
        </w:rPr>
        <w:t xml:space="preserve"> </w:t>
      </w:r>
      <w:r>
        <w:rPr>
          <w:u w:val="single"/>
        </w:rPr>
        <w:t xml:space="preserve"> </w:t>
      </w:r>
      <w:r>
        <w:rPr>
          <w:u w:val="single"/>
        </w:rPr>
        <w:t xml:space="preserve">CONTINUED IMPLEMENTATION OF CERTAIN INTERVENTIONS AND BEST PRACTICES BY PROVIDERS; BIANNUAL REPORT.  (a) </w:t>
      </w:r>
      <w:r>
        <w:rPr>
          <w:u w:val="single"/>
        </w:rPr>
        <w:t xml:space="preserve"> </w:t>
      </w:r>
      <w:r>
        <w:rPr>
          <w:u w:val="single"/>
        </w:rPr>
        <w:t xml:space="preserve">The commission shall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provider incentive programs and the creation of new provider incentive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included in contracts with Medicaid managed care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implementation of alternative payment models;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of other cost-effective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biannually prepare and submit a report to the legislature that contains a summary of the commission's efforts under this section and Section 531.085(b).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