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87R7118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1150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assignment or transfer of certain contracts with managed care organizations under Medicaid and the child health plan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531.06965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531.06965.</w:t>
      </w:r>
      <w:r>
        <w:rPr>
          <w:u w:val="single"/>
        </w:rPr>
        <w:t xml:space="preserve"> </w:t>
      </w:r>
      <w:r>
        <w:rPr>
          <w:u w:val="single"/>
        </w:rPr>
        <w:t xml:space="preserve"> </w:t>
      </w:r>
      <w:r>
        <w:rPr>
          <w:u w:val="single"/>
        </w:rPr>
        <w:t xml:space="preserve">ASSIGNMENT OR TRANSFER OF CERTAIN MANAGED CARE ORGANIZATION CONTRACTS.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"Managed care organization" means a Medicaid managed care organization and a managed care organization that contracts with the commission to provide health care services to child health plan program enrollees.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"Terminating managed care organization" means a managed care organization that notifies the commission in writing or otherwise of the organization's intent to terminate the organization's contract with the commission to provide health care services to Medicaid recipients or child health plan program enrollees.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a process to assign or transfer a contract from a terminating managed care organization to a managed care organization currently under contract with the commission if the commission determines that the termination: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puts the commission at risk of violating a state or federal law or regulation;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jeopardizes the health and safety of Medicaid recipients or child health plan program enrollees;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otherwise impedes the most cost-effective delivery of capitated managed care under the applicable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the provisions of Chapter 2155 do not apply to the assignment or transfer of a contract through the process the commission develops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