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478.0001(3), Government Code, as effective April 1, 2021,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 </w:t>
      </w:r>
      <w:r>
        <w:rPr>
          <w:u w:val="single"/>
        </w:rPr>
        <w:t xml:space="preserve">on September 1, 2021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Grand Prix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(Y)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(Z)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(AA)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