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87R8905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comptroller under Section 809.051.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enables users to communicate with each other by posting information, comments, messages, or images;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open to the public;</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more than 75 million users;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not been affiliated with a religion or political party.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restricts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