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 affecting the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3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7979.101, Special District Local Laws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49.303(d), Water Code, does not apply to the district.  The district may rely on a previously held election for the approval to issue bonds payable in whole or in part from taxes after the exclusion of territory described by the Act enacting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BEING 422.996 ACRES OF LAND LOCATED IN THE ANDREW DUNN LEAGUE, ABSTRACT NO. 4, THE JOHN COOPER SURVEY NO. 13, ABSTRACT NO. 100 AND THE JESSE DAY SURVEY, ABSTRACT 152 IN HAYS COUNTY, TEXAS AND BEING A PORTION OF THE SAME LAND CONVEYED TO MOUNTAIN CITY-150, L.P., CALLED TRACT 1, A 599.25 ACRE TRACT AND TRACT 2 A CALLED 73.693 ACRE TRACT AS DESCRIBED IN VOLUME 5272, PAGE 475 AND A CALLED 857 SQUARE FOOT TRACT 3 AND A 0.308 ACRE TRACT 4 AS DESCRIBED IN VOLUME 5272, PAGE 490 OF THE OFFICIAL PUBLIC RECORDS OF HAYS COUNTY, TEXAS; SAID 422.996 ACRES OF LAND BEING MORE PARTICULARLY DESCRIBED BY METES AND BOUNDS AS FOLLOWS:</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w:t>
      </w:r>
      <w:r xml:space="preserve">
        <w:t> </w:t>
      </w:r>
      <w:r xml:space="preserve">
        <w:t> </w:t>
      </w:r>
      <w:r>
        <w:t xml:space="preserve">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1/2-inch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