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1173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abortion, including information regarding perinatal palliative care and prohibiting discriminatory abortions; authorizing disciplinary action; providing a civil remedy;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THIRD TRIMESTER ABORTION</w:t>
      </w:r>
      <w:r>
        <w:rPr>
          <w:u w:val="single"/>
        </w:rPr>
        <w:t xml:space="preserve"> </w:t>
      </w:r>
      <w:r>
        <w:rPr>
          <w:u w:val="single"/>
        </w:rPr>
        <w:t xml:space="preserve">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POST-FERTILIZATION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POST-FERTILIZATION AGE PROHIBITED.  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amended by this Act, Subchapters B and C, Chapter 171, Health and Safety Code, as amended by this Act, and Chapter 164, Occupations Code, as amended by this Act, apply only to an abortion performed, induced, or attempted or other conduct that occurred on or after January 1, 2022.  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It is the intent of the legislature that every provision, section, subsection, sentence, clause, phrase, or word of this Act and every application of the provisions of this Act to each person or entity are severable from each other.  If a court for any reason finds any application of any provision of this Act to any person, group of persons, or circumstances to be invalid,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