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1173</w:t>
      </w:r>
    </w:p>
    <w:p w:rsidR="003F3435" w:rsidRDefault="0032493E">
      <w:pPr>
        <w:ind w:firstLine="720"/>
        <w:jc w:val="both"/>
      </w:pPr>
      <w:r>
        <w:t xml:space="preserve">(Schaefer, Oliverson, Klick,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abortion, including information regarding perinatal palliative care and prohibiting discriminatory abortions; authorizing disciplinary action; providing a civil remedy;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THIRD TRIMESTER ABORTION</w:t>
      </w:r>
      <w:r>
        <w:rPr>
          <w:u w:val="single"/>
        </w:rPr>
        <w:t xml:space="preserve"> </w:t>
      </w:r>
      <w:r>
        <w:rPr>
          <w:u w:val="single"/>
        </w:rPr>
        <w:t xml:space="preserve">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POST-FERTILIZATION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POST-FERTILIZATION AGE PROHIBITED.  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amended by this Act, Subchapters B and C, Chapter 171, Health and Safety Code, as amended by this Act, and Chapter 164, Occupations Code, as amended by this Act, apply only to an abortion performed, induced, or attempted or other conduct that occurred on or after January 1, 2022.  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It is the intent of the legislature that every provision, section, subsection, sentence, clause, phrase, or word of this Act and every application of the provisions of this Act to each person or entity are severable from each other.  If a court for any reason finds any application of any provision of this Act to any person, group of persons, or circumstances to be invalid,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