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87R9958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gubernatorial appointments to the board of directors of certain regional mobility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370.251(a),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the governing body of an authority is a board of directors consisting of representatives of each county in which a transportation project of the authority is located or is proposed to be located.</w:t>
      </w:r>
      <w:r xml:space="preserve">
        <w:t> </w:t>
      </w:r>
      <w:r xml:space="preserve">
        <w:t> </w:t>
      </w:r>
      <w:r>
        <w:t xml:space="preserve">The commissioners court of each county that initially forms the authority shall appoint at least two directors to the board.</w:t>
      </w:r>
      <w:r xml:space="preserve">
        <w:t> </w:t>
      </w:r>
      <w:r xml:space="preserve">
        <w:t> </w:t>
      </w:r>
      <w:r>
        <w:t xml:space="preserve">Additional directors may be appointed to the board at the time of initial formation by agreement of the counties creating the authority to ensure fair representation of political subdivisions in the counties of the authority that will be affected by a transportation project of the authority, provided that the number of directors must be an odd number.</w:t>
      </w:r>
      <w:r xml:space="preserve">
        <w:t> </w:t>
      </w:r>
      <w:r xml:space="preserve">
        <w:t> </w:t>
      </w:r>
      <w:r>
        <w:t xml:space="preserve">The commissioners court of a county that is subsequently added to the authority shall appoint at least one director to the board.</w:t>
      </w:r>
      <w:r xml:space="preserve">
        <w:t> </w:t>
      </w:r>
      <w:r xml:space="preserve">
        <w:t> </w:t>
      </w:r>
      <w:r>
        <w:t xml:space="preserve">The governor shall appoint one director to the board who shall serve as the presiding officer of the board and shall appoint an additional director to the board if an appointment is necessary to maintain an odd number of directors on the board. </w:t>
      </w:r>
      <w:r>
        <w:rPr>
          <w:u w:val="single"/>
        </w:rPr>
        <w:t xml:space="preserve">For an authority consisting of two or more counties, each with a population of 400,000 or more, the governor's appointments shall be made on a rotating basis among the counties in which a transportation project of the authority is located or is proposed to be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