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1178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6, Nays 2;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1178</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rights and duties of parents and the protection of parental rights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151.001(a),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In addition to the rights and duties described by Section 151.004, a</w:t>
      </w:r>
      <w:r>
        <w:t xml:space="preserve"> [</w:t>
      </w:r>
      <w:r>
        <w:rPr>
          <w:strike/>
        </w:rPr>
        <w:t xml:space="preserve">A</w:t>
      </w:r>
      <w:r>
        <w:t xml:space="preserve">] parent of a child has the following rights and duties:</w:t>
      </w:r>
    </w:p>
    <w:p w:rsidR="003F3435" w:rsidRDefault="0032493E">
      <w:pPr>
        <w:spacing w:line="480" w:lineRule="auto"/>
        <w:ind w:firstLine="1440"/>
        <w:jc w:val="both"/>
      </w:pPr>
      <w:r>
        <w:t xml:space="preserve">(1)</w:t>
      </w:r>
      <w:r xml:space="preserve">
        <w:t> </w:t>
      </w:r>
      <w:r xml:space="preserve">
        <w:t> </w:t>
      </w:r>
      <w:r>
        <w:t xml:space="preserve">the right to have physical possession[</w:t>
      </w:r>
      <w:r>
        <w:rPr>
          <w:strike/>
        </w:rPr>
        <w:t xml:space="preserve">, to direct the moral and religious training,</w:t>
      </w:r>
      <w:r>
        <w:t xml:space="preserve">] and to designate the residence of the child;</w:t>
      </w:r>
    </w:p>
    <w:p w:rsidR="003F3435" w:rsidRDefault="0032493E">
      <w:pPr>
        <w:spacing w:line="480" w:lineRule="auto"/>
        <w:ind w:firstLine="1440"/>
        <w:jc w:val="both"/>
      </w:pPr>
      <w:r>
        <w:t xml:space="preserve">(2)</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(3)</w:t>
      </w:r>
      <w:r xml:space="preserve">
        <w:t> </w:t>
      </w:r>
      <w:r xml:space="preserve">
        <w:t> </w:t>
      </w:r>
      <w:r>
        <w:t xml:space="preserve">the duty to support the child, including providing the child with clothing, food, shelter, medical and dental care, and education;</w:t>
      </w:r>
    </w:p>
    <w:p w:rsidR="003F3435" w:rsidRDefault="0032493E">
      <w:pPr>
        <w:spacing w:line="480" w:lineRule="auto"/>
        <w:ind w:firstLine="1440"/>
        <w:jc w:val="both"/>
      </w:pPr>
      <w:r>
        <w:t xml:space="preserve">(4)</w:t>
      </w:r>
      <w:r xml:space="preserve">
        <w:t> </w:t>
      </w:r>
      <w:r xml:space="preserve">
        <w:t> </w:t>
      </w:r>
      <w:r>
        <w:t xml:space="preserve">the duty, except when a guardian of the child's estate has been appointed, to manage the estate of the child, including the right as an agent of the child to act in relation to the child's estate if the child's action is required by a state, the United States, or a foreign government;</w:t>
      </w:r>
    </w:p>
    <w:p w:rsidR="003F3435" w:rsidRDefault="0032493E">
      <w:pPr>
        <w:spacing w:line="480" w:lineRule="auto"/>
        <w:ind w:firstLine="1440"/>
        <w:jc w:val="both"/>
      </w:pPr>
      <w:r>
        <w:t xml:space="preserve">(5)</w:t>
      </w:r>
      <w:r xml:space="preserve">
        <w:t> </w:t>
      </w:r>
      <w:r xml:space="preserve">
        <w:t> </w:t>
      </w:r>
      <w:r>
        <w:t xml:space="preserve">except as provided by Section 264.0111, the right to the services and earnings of the child;</w:t>
      </w:r>
    </w:p>
    <w:p w:rsidR="003F3435" w:rsidRDefault="0032493E">
      <w:pPr>
        <w:spacing w:line="480" w:lineRule="auto"/>
        <w:ind w:firstLine="1440"/>
        <w:jc w:val="both"/>
      </w:pPr>
      <w:r>
        <w:t xml:space="preserve">(6)</w:t>
      </w:r>
      <w:r xml:space="preserve">
        <w:t> </w:t>
      </w:r>
      <w:r xml:space="preserve">
        <w:t> </w:t>
      </w:r>
      <w:r>
        <w:t xml:space="preserve">the right to consent to the child's marriage, enlistment in the armed forces of the United States, medical and dental care, and psychiatric, psychological, and surgical treatment;</w:t>
      </w:r>
    </w:p>
    <w:p w:rsidR="003F3435" w:rsidRDefault="0032493E">
      <w:pPr>
        <w:spacing w:line="480" w:lineRule="auto"/>
        <w:ind w:firstLine="1440"/>
        <w:jc w:val="both"/>
      </w:pPr>
      <w:r>
        <w:t xml:space="preserve">(7)</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(8)</w:t>
      </w:r>
      <w:r xml:space="preserve">
        <w:t> </w:t>
      </w:r>
      <w:r xml:space="preserve">
        <w:t> </w:t>
      </w:r>
      <w:r>
        <w:t xml:space="preserve">the right to receive and give receipt for payments for the support of the child and to hold or disburse funds for the benefit of the child;</w:t>
      </w:r>
    </w:p>
    <w:p w:rsidR="003F3435" w:rsidRDefault="0032493E">
      <w:pPr>
        <w:spacing w:line="480" w:lineRule="auto"/>
        <w:ind w:firstLine="1440"/>
        <w:jc w:val="both"/>
      </w:pPr>
      <w:r>
        <w:t xml:space="preserve">(9)</w:t>
      </w:r>
      <w:r xml:space="preserve">
        <w:t> </w:t>
      </w:r>
      <w:r xml:space="preserve">
        <w:t> </w:t>
      </w:r>
      <w:r>
        <w:t xml:space="preserve">the right to inherit from and through the child;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w:t>
      </w:r>
      <w:r>
        <w:rPr>
          <w:strike/>
        </w:rPr>
        <w:t xml:space="preserve">the right to make decisions concerning the child's education; and</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any other right or duty existing between a parent and child by virtue of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151, Family Code, is amended by adding Section 151.004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w:t>
      </w:r>
      <w:r>
        <w:rPr>
          <w:u w:val="single"/>
        </w:rPr>
        <w:t xml:space="preserve"> </w:t>
      </w:r>
      <w:r>
        <w:rPr>
          <w:u w:val="single"/>
        </w:rPr>
        <w:t xml:space="preserve"> </w:t>
      </w:r>
      <w:r>
        <w:rPr>
          <w:u w:val="single"/>
        </w:rPr>
        <w:t xml:space="preserve">PRESUMPTION OF PARENTAL FITNESS; FUNDAMENTAL RIGHT OF PARENTS TO RAISE CHILDREN.  (a) </w:t>
      </w:r>
      <w:r>
        <w:rPr>
          <w:u w:val="single"/>
        </w:rPr>
        <w:t xml:space="preserve"> </w:t>
      </w:r>
      <w:r>
        <w:rPr>
          <w:u w:val="single"/>
        </w:rPr>
        <w:t xml:space="preserve">In a suit, there is a presumption that a parent is a fit parent who acts in the best interest of the parent's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fundamental right of a parent to raise the parent's child includes the right to direct and make decisions for the child's care, custody, control, education, upbringing, moral and religious training, and medical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suit between a parent and a nonparent, a court may not grant any relief that conflicts with a parent's decisions or proposed decisions for the child unless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requested relief is necessary to prevent a significant impairment of the child's physical health or emotional well-being;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most recent final order rendered regarding the child in a previous suit to which the parent was a party, the parent: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either:</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was given an opportunity to be heard and present evidence;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entered into a written agreement that did not name the parent as the sole managing conservator or a joint managing conservator of the child;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appointed as the sole managing conservator or a joint managing conservator of the child;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had adequate notice of the final hearing as required by law.</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limit the rights of the state to investigate or act on a report of child abuse or neglect allegedly committed by a person responsible for a child's care, custody, or welfare, beyond the limitations required by the United States Constitution and the Texas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order to enforce child support.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