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Business &amp; Commerce;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trailer, or semitrailer for which a title or registration is required under Chapter 501 or 502,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vessel, or outboard motor for which a certificate of title is required under Subchapter B, Chapter 31, Parks and Wildlife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 vehicle, trailer, semitrailer, motorboat, vessel, or outboard motor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