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87R12086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limitations on the operation of businesses that hold a winery permit during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rPr>
          <w:u w:val="single"/>
        </w:rPr>
        <w:t xml:space="preserve">(a)</w:t>
      </w:r>
      <w:r>
        <w:t xml:space="preserve">  Under this chapter, the governor may issue executive orders, proclamations, and regulations and amend or rescind them. 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order, proclamation, or regulation issued by the governor under this chapter that</w:t>
      </w:r>
      <w:r>
        <w:rPr>
          <w:u w:val="single"/>
        </w:rPr>
        <w:t xml:space="preserve"> </w:t>
      </w:r>
      <w:r>
        <w:rPr>
          <w:u w:val="single"/>
        </w:rPr>
        <w:t xml:space="preserve">restricts the operation of or the hours of operation for a business that sells alcoholic beverages may not include a business that holds a winery permit</w:t>
      </w:r>
      <w:r>
        <w:rPr>
          <w:u w:val="single"/>
        </w:rPr>
        <w:t xml:space="preserve"> </w:t>
      </w:r>
      <w:r>
        <w:rPr>
          <w:u w:val="single"/>
        </w:rPr>
        <w:t xml:space="preserve">issued by the Texas Alcoholic Beverage Commission under Chapter 16, Alcoholic Beverage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as amended by this Act, applies only to a declaration of a state of disaster  issued or renewed on or after the effective date of this Act. A declaration issued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