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87R5562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referral of certain pregnant women to a nurse-family partnership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265.101, Family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(1-a)</w:t>
      </w:r>
      <w:r>
        <w:t xml:space="preserve"> "Competitive grant program" means the nurse-family partnership competitive grant program established under this subchapter.</w:t>
      </w:r>
    </w:p>
    <w:p w:rsidR="003F3435" w:rsidRDefault="0032493E">
      <w:pPr>
        <w:spacing w:line="480" w:lineRule="auto"/>
        <w:ind w:firstLine="1440"/>
        <w:jc w:val="both"/>
      </w:pPr>
      <w:r>
        <w:rPr>
          <w:u w:val="single"/>
        </w:rPr>
        <w:t xml:space="preserve">(1-b) "Health and human services agencies" has the meaning assigned by Section 531.001,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265, Family Code, is amended by adding Section 265.1025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265.1025.</w:t>
      </w:r>
      <w:r>
        <w:rPr>
          <w:u w:val="single"/>
        </w:rPr>
        <w:t xml:space="preserve"> </w:t>
      </w:r>
      <w:r>
        <w:rPr>
          <w:u w:val="single"/>
        </w:rPr>
        <w:t xml:space="preserve"> </w:t>
      </w:r>
      <w:r>
        <w:rPr>
          <w:u w:val="single"/>
        </w:rPr>
        <w:t xml:space="preserve">COORDINATION BETWEEN AGENCIES AND LOCAL ORGANIZATIONS.  The department shall coordinate with the commission to promote the referral to a partnership program of pregnant women receiving services through a public benefits program administered by the commission or a health and human services agency. The coordination may include encouraging and supporting agreements between local organizations providing services to pregnant women.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265.154(b), Family Code, is amended to read as follows: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parenting education programs implemented and of the models associated with the programs;</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programs;</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on promising practice programs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sources from which pregnant women were referred in the preceding two-year period to a nurse-family partnership program under Subchapter 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