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1204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Finance; April</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14,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1204</w:t>
      </w:r>
      <w:r xml:space="preserve">
        <w:tab wTab="150" tlc="none" cTlc="0"/>
      </w:r>
      <w:r>
        <w:t xml:space="preserve">By:</w:t>
      </w:r>
      <w:r xml:space="preserve">
        <w:t> </w:t>
      </w:r>
      <w:r xml:space="preserve">
        <w:t> </w:t>
      </w:r>
      <w:r>
        <w:t xml:space="preserve">Schwertner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requiring the inclusion of certain proposals in reports on the actuarial experience of the Employees Retirement System of Texas and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815.206, Government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actuarial experience study or other report on an actuarial investigation of mortality, service, and compensation experience conducted under Subsection (c) must include at least one proposal that seeks to achieve or maintain an amortization period not exceeding 30 years by one or more years without additional or increased contributions from the state. </w:t>
      </w:r>
      <w:r>
        <w:rPr>
          <w:u w:val="single"/>
        </w:rPr>
        <w:t xml:space="preserve"> </w:t>
      </w:r>
      <w:r>
        <w:rPr>
          <w:u w:val="single"/>
        </w:rPr>
        <w:t xml:space="preserve">The proposal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changes to benefits;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increased or additional contributions from members or the members' employers;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changes to the assumed rate of return on investments.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825.206, Government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An actuarial experience study or other report on an actuarial investigation of mortality, service, and compensation experience conducted under Subsection (b) must include at least one proposal that seeks to achieve or maintain an amortization period not exceeding 30 years by one or more years without additional or increased contributions from the state. </w:t>
      </w:r>
      <w:r>
        <w:rPr>
          <w:u w:val="single"/>
        </w:rPr>
        <w:t xml:space="preserve"> </w:t>
      </w:r>
      <w:r>
        <w:rPr>
          <w:u w:val="single"/>
        </w:rPr>
        <w:t xml:space="preserve">The proposal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changes to benefits;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increased or additional contributions from members or the members'</w:t>
      </w:r>
      <w:r>
        <w:rPr>
          <w:u w:val="single"/>
        </w:rPr>
        <w:t xml:space="preserve"> </w:t>
      </w:r>
      <w:r>
        <w:rPr>
          <w:u w:val="single"/>
        </w:rPr>
        <w:t xml:space="preserve">employers;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changes to the assumed rate of return on investments.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