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executive orders issued by the President of the United States.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rPr>
          <w:u w:val="single"/>
        </w:rPr>
        <w:t xml:space="preserve">STATE AND LOCAL GOVERNMENT POLICY REGARDING ENFORCEMENT OF LEGISLATIVE AUTHORITY BY THE PRESIDENT OF THE UNITED STATES.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implement or enforce a federal executive order that has not been affirmed by a vote of Congress of the United States and signed into law, as prescribed by the Constitution of the Untied States, that exceeds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entity described by Subsection (a) and no person employed by or otherwise under the direction or control of the entity may enforce or attempt to enforce any federal order, rule, or regulation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