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1208</w:t>
      </w:r>
    </w:p>
    <w:p w:rsidR="003F3435" w:rsidRDefault="0032493E">
      <w:pPr>
        <w:ind w:firstLine="720"/>
        <w:jc w:val="both"/>
      </w:pPr>
      <w:r>
        <w:t xml:space="preserve">(Slaton)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a portion of State Highway 276 in Hunt and Rains Counties as the Staff Sergeant Shawn Henry McNabb Memorial Bridge.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225.190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225.190.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STAFF SERGEANT SHAWN HENRY MCNABB MEMORIAL BRIDGE.  (a) </w:t>
      </w:r>
      <w:r>
        <w:rPr>
          <w:u w:val="single"/>
        </w:rPr>
        <w:t xml:space="preserve"> </w:t>
      </w:r>
      <w:r>
        <w:rPr>
          <w:u w:val="single"/>
        </w:rPr>
        <w:t xml:space="preserve">The State Highway 276 bridge over Lake Tawakoni in Hunt County and Rains County is designated as the Staff Sergeant Shawn Henry McNabb Memorial Bridge.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Staff Sergeant Shawn Henry McNabb Memorial Bridge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bridge.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1208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