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1210</w:t>
      </w:r>
    </w:p>
    <w:p w:rsidR="003F3435" w:rsidRDefault="0032493E">
      <w:pPr>
        <w:ind w:firstLine="720"/>
        <w:jc w:val="both"/>
      </w:pPr>
      <w:r>
        <w:t xml:space="preserve">(Oliverson, Button, Schaefer, Zwiener)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substitutes for hydrofluorocarbon refrigerants applicable to commercial or residential buildings or construction.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382, Health and Safety Code, is amended by adding Subchapter L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L. </w:t>
      </w:r>
      <w:r>
        <w:rPr>
          <w:u w:val="single"/>
        </w:rPr>
        <w:t xml:space="preserve"> </w:t>
      </w:r>
      <w:r>
        <w:rPr>
          <w:u w:val="single"/>
        </w:rPr>
        <w:t xml:space="preserve">REGULATION OF HYDROFLUOROCARBONS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382.551.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SUBSTITUTES FOR HYDROFLUOROCARBON REFRIGERANTS APPLICABLE TO COMMERCIAL OR RESIDENTIAL BUILDINGS OR CONSTRUCTION.  A building code or other requirement applicable to commercial or residential buildings or construction may not prohibit the use of a substitute refrigerant authorized pursuant to 42 U.S.C. Section 7671k.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