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87R2599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determination of the total taxable value of property in a school district that has entered into an agreement under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48.256(d),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subsection applies to a school district in which the board of trustees entered into a written agreement with a property owner under Section 313.027, Tax Code, for the implementation of a limitation on appraised value under Subchapter B or C, Chapter 313, Tax Code. For purposes of determining "DPV" under Subsection (a) for a school district to which this subsection applies, the commissioner shall exclude </w:t>
      </w:r>
      <w:r>
        <w:rPr>
          <w:u w:val="single"/>
        </w:rPr>
        <w:t xml:space="preserve">an amount equal to one-half of the</w:t>
      </w:r>
      <w:r>
        <w:t xml:space="preserve"> [</w:t>
      </w:r>
      <w:r>
        <w:rPr>
          <w:strike/>
        </w:rPr>
        <w:t xml:space="preserve">a</w:t>
      </w:r>
      <w:r>
        <w:t xml:space="preserve">] portion of the market value of property not otherwise fully taxable by the district under Subchapter B or C, Chapter 313, Tax Code, before the expiration of the subchapter. The comptroller shall provide information to the agency necessary for this subsection. A revenue protection payment required as part of an agreement for a limitation on appraised value shall be based on the district's taxable value of property for the preceding tax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