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1216</w:t>
      </w:r>
    </w:p>
    <w:p w:rsidR="003F3435" w:rsidRDefault="0032493E">
      <w:pPr>
        <w:ind w:firstLine="720"/>
        <w:jc w:val="both"/>
      </w:pPr>
      <w:r>
        <w:t xml:space="preserve">(Lozano)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option election on the sale of alcoholic beverages in certain areas of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251, Alcoholic Beverage Code, is amended by adding Section 251.742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251.742.</w:t>
      </w:r>
      <w:r>
        <w:rPr>
          <w:u w:val="single"/>
        </w:rPr>
        <w:t xml:space="preserve"> </w:t>
      </w:r>
      <w:r>
        <w:rPr>
          <w:u w:val="single"/>
        </w:rPr>
        <w:t xml:space="preserve"> </w:t>
      </w:r>
      <w:r>
        <w:rPr>
          <w:u w:val="single"/>
        </w:rPr>
        <w:t xml:space="preserve">MUNICIPAL ALCOHOLIC BEVERAGE ZONE.  (a)  In this section, "commercial area" means a contiguous area: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which 75 percent or more of the land area, excluding street rights-of-way, is devoted to or restricted to any combination of retail, restaurant, entertainment, office, government, or business uses;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includes at least 20 commercial establishments.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15,000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two counties one of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340,000 or more;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borders the Gulf of Mexico.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a municipality by resolution may propose a zone within a commercial area of the municipality to be designated as a zone in which the legal sale of one or more prohibited types or classifications of alcoholic beverages may be considered in a local option election under this section.  The resolution must describe the boundaries of the proposed zone.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the municipality shall order an election on the issue and prepare the ballot for the election that describes the boundaries of the proposed zone and permits voting for or against one of the ballot issues prescribed by Section 501.035, Election Code, with respect to the proposed zone.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qualified voters of a municipality may petition the governing body of the municipality, in the manner prescribed by Chapter 501, Election Code, to order an election to alter the status of the sale of any type or classification of alcoholic beverages that has been legalized in a zone by an election conducted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election conducted under this section shall be conducted within the entire boundaries of the municipality in which an alcoholic beverage zone is proposed as those boundaries exist on the date of the election.  The results of the election affect only the wet or dry status of the area within the boundaries of the zone.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provisions for conducting a local option election under Chapter 501, Election Code, apply to an election conducted under this section to the extent those provisions do not conflict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results of an election conducted under this section do not affect the legal sale of one or more types or classifications of alcoholic beverages that are permitted in the zone because of the zone's inclusion in a political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