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Schwertner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1226</w:t>
      </w:r>
    </w:p>
    <w:p w:rsidR="003F3435" w:rsidRDefault="0032493E">
      <w:pPr>
        <w:ind w:firstLine="720"/>
        <w:jc w:val="both"/>
      </w:pPr>
      <w:r>
        <w:t xml:space="preserve">(Geren, Talarico)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authorized activities of a holder of a brewpub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as effective September 1, 2021,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holder of a brewpub license for a brewpub located in a wet area, as that term is described by Section 251.71,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brew, bottle, can, package, and label malt beverages;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or offer without charge, on the premises of the brewpub, to ultimate consumers for consumption on or off those premises, malt beverages produced by the holder, in or from a lawful container, to the extent the sales or offers are allowed under the holder's other permits or licenses;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sell food on the premises of the holder's breweries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samplings of malt beverages, including tastings, at a retailer's premises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agent or employee of the holder of a brewpub license may open, touch, or pour malt beverages, make a presentation, or answer questions at a sampling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