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establishing the Texas Commission on Community College Finance.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130, Education Code, is amended by adding Section 130.1305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130.1305.</w:t>
      </w:r>
      <w:r>
        <w:rPr>
          <w:u w:val="single"/>
        </w:rPr>
        <w:t xml:space="preserve"> </w:t>
      </w:r>
      <w:r>
        <w:rPr>
          <w:u w:val="single"/>
        </w:rPr>
        <w:t xml:space="preserve"> </w:t>
      </w:r>
      <w:r>
        <w:rPr>
          <w:u w:val="single"/>
        </w:rPr>
        <w:t xml:space="preserve">TEXAS COMMISSION ON COMMUNITY COLLEGE FINANCE.  (a) </w:t>
      </w:r>
      <w:r>
        <w:rPr>
          <w:u w:val="single"/>
        </w:rPr>
        <w:t xml:space="preserve"> </w:t>
      </w:r>
      <w:r>
        <w:rPr>
          <w:u w:val="single"/>
        </w:rPr>
        <w:t xml:space="preserve">The Texas Commission on Community College Finance is established to make recommendations for consideration by the 88th Texas Legislature regarding the state funding formula and funding levels for public junior colleges in Texas that would be sufficient to sustain viable junior college education and training offerings throughout the state and improve student outcomes in alignment with state postsecondary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12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board of the Texas Association of Community Colleges;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board of the Community College Association of Texas Trustees.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One of the members appointed by the governor must be a faculty member at a public junior college as defined by Section 61.003, and the other members appointed by the governor must be representatives of junior college leaders, business leaders, or other stakeholders knowledgeable in junior college mission, instructional programs, and finance.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appointed by the lieutenant governor shall consist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senate;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w:t>
      </w:r>
      <w:r>
        <w:rPr>
          <w:u w:val="single"/>
        </w:rPr>
        <w:t xml:space="preserve"> </w:t>
      </w:r>
      <w:r>
        <w:rPr>
          <w:u w:val="single"/>
        </w:rPr>
        <w:t xml:space="preserve">individual who is an administrator of a public junior college as defined by Section 61.003, a business leader, or a stakeholder knowledgeable in junior college mission, instructional programs, and finance.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Members appointed by the speaker of the house of representatives shall consist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house of representatives;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from a public junior college as defined by Section 61.003.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making appointments, the governor, lieutenant governor, and speaker of the house of representatives shall coordinate to ensure that the membership of the commission reflects, to the extent possible, the geographic diversity of Texas public junior colleges and the ethnic diversity of the communities served by those junior colleges.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convene not later than October 15, 2021, and shall continue its activities until completion of a final report.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examine trend and forecast data, seek stakeholder input, and account for equity in student outcomes and based on its findings, make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components of state funding for public junior colleges, including contact hour funding formulas established for public junior colleges under Subchapter C, Chapter 61, and Subchapter A of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feasibility of establishing shared service agreements or interinstitutional collaborations through which institutions of higher education may perform administrative services, other than direct instruction and student support services, for other institutions of higher education for a fee or other consideration.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inform the recommendations required under Subsection (h), the commission may examine and make recommendations on other policy and finance matters,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workforce demand and skills gaps;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dual credit programs and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variation between taxing districts and service areas;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graduation, transfer, and success metrics;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relationship between economic cycles and student enrollment.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seek resource support, including data analyses and technical assistance, from the Texas Higher Education Coordinating Board, the Texas Association of Community Colleges, and research organizations.  The commission may accept gifts, grants, and donations from any source to be used to carry out a function of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governor shall designate the presiding officer of the commission.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submit a final report and recommendations to the governor, lieutenant governor, and both houses of the legislature not later than November 1, 2022.</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1230 passed the Senate on April 23, 2021, by the following vote:  Yeas</w:t>
      </w:r>
      <w:r xml:space="preserve">
        <w:t> </w:t>
      </w:r>
      <w:r>
        <w:t xml:space="preserve">31, Nays</w:t>
      </w:r>
      <w:r xml:space="preserve">
        <w:t> </w:t>
      </w:r>
      <w:r>
        <w:t xml:space="preserve">0; and that the Senate concurred in House amendment on May 13, 2021,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1230 passed the House, with amendment, on May 7, 2021, by the following vote:  Yeas</w:t>
      </w:r>
      <w:r xml:space="preserve">
        <w:t> </w:t>
      </w:r>
      <w:r>
        <w:t xml:space="preserve">119, Nays</w:t>
      </w:r>
      <w:r xml:space="preserve">
        <w:t> </w:t>
      </w:r>
      <w:r>
        <w:t xml:space="preserve">15,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