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87R7413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Paxton, Hall, 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suspension of laws governing elections.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1.002, Election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 state of disaster declared under Chapter 418, Government Code: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code is not considered a regulatory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code may not be suspended.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ACTS AFFECTING ELECTIONS.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 agency"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or a municipality or other political subdivision of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agency of this state or a municipality or other political subdivision of this state, including a department, bureau, board, commission, office, agency, council, or public institution of higher education.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official" means any elected or appointed officer, employee, or agent of this state, a government agency, or any other public body established by state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 agency or public official may not issue an order that suspends or waives a provision of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