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87R10644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wildlife by a person on the person's property for purposes of disease diagnosis, management, or prevention.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12.013, Parks and Wildlife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not a department employee, or the person's agent who is not a department employee, may take wildlife on the person's property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written authorization from 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participating: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supervision of a department employee;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program or event conducted for the diagnosis, management, or prevention of a disease in wildlife, as designated by the director.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