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87R11501 JON-D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identification of and prohibited cooperation by state and local entities with certain federal acts that violate the United States Constitution.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7, Government Code, is amended by adding Chapter 793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793.  IDENTIFICATION OF AND PROHIBITED COOPERATION WITH CERTAIN UNCONSTITUTIONAL ACTS OF FEDERAL GOVERNMENT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"Political subdivision" has the meaning assigned by Section 791.003.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agency" has the meaning assigned by Section 751.001.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REVIEW OF EXECUTIVE ORDERS.  (a) </w:t>
      </w:r>
      <w:r>
        <w:rPr>
          <w:u w:val="single"/>
        </w:rPr>
        <w:t xml:space="preserve"> </w:t>
      </w:r>
      <w:r>
        <w:rPr>
          <w:u w:val="single"/>
        </w:rPr>
        <w:t xml:space="preserve">On the last day of each month, the attorney general shall provide a written report to the governor, lieutenant governor, speaker of the house of representatives, and each member of the legislature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identifies each rule adopted by a federal government agency during the previous month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relates to: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pandemics or other health emergencies;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regulation of natural resources, including coal and oil;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regulation of the agriculture industry;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land;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regulation of the financial sector as it relates to environmental, social, or governance standards;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regulation of the constitutional right to keep and bear arms;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free exercise of religion, including the congregating of religious practitioners;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adopted in response to an executive order by the president of the United States;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violates the rights guaranteed to the citizens of the United States by the United States Constitution;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the status of any lawsuit filed against the federal government relating to a rule identified by any report prepared under this section, including whether a court has found the rule to violate the rights guaranteed to the citizens of the United States by the United States Constitution.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shall publish any report prepared under this section on the attorney general's website and in the Texas Register.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COOPERATION WITH UNCONSTITUTIONAL ACTS.  Notwithstanding any other law, a state agency or political subdivision may not cooperate with a federal government agency in implementing an agency rule that a report published under Section 793.002 indicates has been found by a court to violate the rights guaranteed to the citizens of the United States by the United States Constitution.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