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State Affairs;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and renewal of licenses to carry a handgun for purposes of reciprocity with other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411.177,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issue a license under this subchapter to each applicant who meets all the eligibility requirements and submits all the application materials, regardless of whether the applicant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411.185, Government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renew the license of each license holder who meets all the eligibility requirements to continue to hold a license and who submits all the renewal materials described by Subsection (a), regardless of whether the license holder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