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87R10937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property for an ad valorem tax abatement under the Property Redevelopment and Tax Abatement Act if certain renewable energy devices are installed or constructed on the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312, Tax Code, is amended by adding Section 312.0022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312.0022.</w:t>
      </w:r>
      <w:r>
        <w:rPr>
          <w:u w:val="single"/>
        </w:rPr>
        <w:t xml:space="preserve"> </w:t>
      </w:r>
      <w:r>
        <w:rPr>
          <w:u w:val="single"/>
        </w:rPr>
        <w:t xml:space="preserve"> </w:t>
      </w:r>
      <w:r>
        <w:rPr>
          <w:u w:val="single"/>
        </w:rPr>
        <w:t xml:space="preserve">PROHIBITION ON ABATEMENT OF TAXES ON PROPERTY WITH CERTAIN RENEWABLE ENERGY DEVICES INSTALLED OR CONSTRUCTED.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"Solar energy device" has the meaning assigned by Section 11.27.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"Wind-powered energy device" has the meaning assigned by Section 11.27.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an owner or lessee of a parcel of real property that is located wholly or partly in a reinvestment zone may not receive an exemption from taxation of any portion of the value of the parcel of real property or of tangible personal property located on the parcel of real property under a tax abatement agreement under this chapter that is entered into on or after September 1, 2021, if, on or after that date, a solar energy device or wind-powered energy device is installed or constructed on the same parcel of real property. </w:t>
      </w:r>
      <w:r>
        <w:rPr>
          <w:u w:val="single"/>
        </w:rPr>
        <w:t xml:space="preserve"> </w:t>
      </w:r>
      <w:r>
        <w:rPr>
          <w:u w:val="single"/>
        </w:rPr>
        <w:t xml:space="preserve">The prohibition provided by this section applies regardless of whether the solar energy device or wind-powered energy device is installed or constructed at a location that is in the reinvestment zone.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