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1257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Natural Resources &amp; Economic Development; April</w:t>
      </w:r>
      <w:r xml:space="preserve">
        <w:t> </w:t>
      </w:r>
      <w:r>
        <w:t xml:space="preserve">12,</w:t>
      </w:r>
      <w:r xml:space="preserve">
        <w:t> </w:t>
      </w:r>
      <w:r>
        <w:t xml:space="preserve">2021, reported favorably by the following vote:</w:t>
      </w:r>
      <w:r>
        <w:t xml:space="preserve"> </w:t>
      </w:r>
      <w:r>
        <w:t xml:space="preserve"> </w:t>
      </w:r>
      <w:r>
        <w:t xml:space="preserve">Yeas 9,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information required to be provided by the chief appraiser of an appraisal district to the comptroller in connection with the comptroller's central registry of reinvestment zones designated and ad valorem tax abatement agreements executed under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312.005(a),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maintain a central registry of reinvestment zones designated under this chapter and of ad valorem tax abatement agreements executed under this chapter.  The chief appraiser of each appraisal district that appraises property for a taxing unit that has designated a reinvestment zone or executed a tax abatement agreement under this chapter shall deliver to the comptroller before July 1 of the year following the year in which the zone is designated or the agreement is executed a report providing the following information:</w:t>
      </w:r>
    </w:p>
    <w:p w:rsidR="003F3435" w:rsidRDefault="0032493E">
      <w:pPr>
        <w:spacing w:line="480" w:lineRule="auto"/>
        <w:ind w:firstLine="1440"/>
        <w:jc w:val="both"/>
      </w:pPr>
      <w:r>
        <w:t xml:space="preserve">(1)</w:t>
      </w:r>
      <w:r xml:space="preserve">
        <w:t> </w:t>
      </w:r>
      <w:r xml:space="preserve">
        <w:t> </w:t>
      </w:r>
      <w:r>
        <w:t xml:space="preserve">for a reinvestment zone, a general description of the zone, including its size, the types of property located in it, its duration, and the guidelines and criteria established for the reinvestment zone under Section 312.002, including subsequent amendments and modifications of the guidelines or criteria;</w:t>
      </w:r>
    </w:p>
    <w:p w:rsidR="003F3435" w:rsidRDefault="0032493E">
      <w:pPr>
        <w:spacing w:line="480" w:lineRule="auto"/>
        <w:ind w:firstLine="1440"/>
        <w:jc w:val="both"/>
      </w:pPr>
      <w:r>
        <w:t xml:space="preserve">(2)</w:t>
      </w:r>
      <w:r xml:space="preserve">
        <w:t> </w:t>
      </w:r>
      <w:r xml:space="preserve">
        <w:t> </w:t>
      </w:r>
      <w:r>
        <w:t xml:space="preserve">a copy of each tax abatement agreement to which a taxing unit that participates in the appraisal district is a party;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information described by Section 312.205(a)(1) in connection with each tax abatement agreement described by Subdivision (2) of this subsection; and</w:t>
      </w:r>
    </w:p>
    <w:p w:rsidR="003F3435" w:rsidRDefault="0032493E">
      <w:pPr>
        <w:spacing w:line="480" w:lineRule="auto"/>
        <w:ind w:firstLine="1440"/>
        <w:jc w:val="both"/>
      </w:pPr>
      <w:r>
        <w:rPr>
          <w:u w:val="single"/>
        </w:rPr>
        <w:t xml:space="preserve">(4)</w:t>
      </w:r>
      <w:r xml:space="preserve">
        <w:t> </w:t>
      </w:r>
      <w:r xml:space="preserve">
        <w:t> </w:t>
      </w:r>
      <w:r>
        <w:t xml:space="preserve">any other information required by the comptroller to administer this section [</w:t>
      </w:r>
      <w:r>
        <w:rPr>
          <w:strike/>
        </w:rPr>
        <w:t xml:space="preserve">and Subchapter F, Chapter 111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