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1261</w:t>
      </w:r>
    </w:p>
    <w:p w:rsidR="003F3435" w:rsidRDefault="0032493E">
      <w:pPr>
        <w:ind w:firstLine="720"/>
        <w:jc w:val="both"/>
      </w:pPr>
      <w:r>
        <w:t xml:space="preserve">(Landgraf)</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exclusive jurisdiction of the state to regulate greenhouse gas emissions in this state and the express preemption of local regulation of those emissions.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382, Health and Safety Code, is amended by adding Section 382.005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382.005.</w:t>
      </w:r>
      <w:r>
        <w:rPr>
          <w:u w:val="single"/>
        </w:rPr>
        <w:t xml:space="preserve"> </w:t>
      </w:r>
      <w:r>
        <w:rPr>
          <w:u w:val="single"/>
        </w:rPr>
        <w:t xml:space="preserve"> </w:t>
      </w:r>
      <w:r>
        <w:rPr>
          <w:u w:val="single"/>
        </w:rPr>
        <w:t xml:space="preserve">EXCLUSIVE JURISDICTION TO REGULATE GREENHOUSE GAS EMISSIONS AND EXPRESS PREEMPTION OF LOCAL REGULATIONS.  (a)  In this section, "greenhouse gas emissions" has the meaning assigned by Section 382.05102.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preempted by federal law, the state has exclusive jurisdiction over the regulation of greenhouse gas emissions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other political subdivision may not enact or enforce an ordinance or other measure that directly regulates greenhouse gas emissions.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